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A97" w:rsidRDefault="008D6A97">
      <w:pPr>
        <w:spacing w:after="0" w:line="240" w:lineRule="auto"/>
        <w:jc w:val="both"/>
        <w:rPr>
          <w:rFonts w:ascii="Palatino Linotype" w:eastAsia="Palatino Linotype" w:hAnsi="Palatino Linotype" w:cs="Palatino Linotype"/>
          <w:b/>
          <w:sz w:val="24"/>
          <w:szCs w:val="24"/>
        </w:rPr>
      </w:pPr>
      <w:bookmarkStart w:id="0" w:name="_GoBack"/>
      <w:bookmarkEnd w:id="0"/>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360" w:lineRule="auto"/>
        <w:jc w:val="center"/>
        <w:rPr>
          <w:rFonts w:ascii="Palatino Linotype" w:eastAsia="Palatino Linotype" w:hAnsi="Palatino Linotype" w:cs="Palatino Linotype"/>
          <w:b/>
          <w:sz w:val="28"/>
          <w:szCs w:val="28"/>
        </w:rPr>
      </w:pPr>
    </w:p>
    <w:p w:rsidR="008D6A97" w:rsidRDefault="0029088D">
      <w:pPr>
        <w:spacing w:after="0" w:line="360" w:lineRule="auto"/>
        <w:jc w:val="center"/>
        <w:rPr>
          <w:rFonts w:ascii="Palatino Linotype" w:eastAsia="Palatino Linotype" w:hAnsi="Palatino Linotype" w:cs="Palatino Linotype"/>
          <w:b/>
          <w:sz w:val="28"/>
          <w:szCs w:val="28"/>
        </w:rPr>
      </w:pPr>
      <w:r>
        <w:rPr>
          <w:rFonts w:ascii="Palatino Linotype" w:eastAsia="Palatino Linotype" w:hAnsi="Palatino Linotype" w:cs="Palatino Linotype"/>
          <w:b/>
          <w:sz w:val="28"/>
          <w:szCs w:val="28"/>
        </w:rPr>
        <w:t>АНАЛИЗ</w:t>
      </w:r>
    </w:p>
    <w:p w:rsidR="008D6A97" w:rsidRDefault="0029088D">
      <w:pPr>
        <w:spacing w:after="0" w:line="360" w:lineRule="auto"/>
        <w:jc w:val="center"/>
        <w:rPr>
          <w:rFonts w:ascii="Palatino Linotype" w:eastAsia="Palatino Linotype" w:hAnsi="Palatino Linotype" w:cs="Palatino Linotype"/>
          <w:sz w:val="24"/>
          <w:szCs w:val="24"/>
        </w:rPr>
      </w:pPr>
      <w:r>
        <w:rPr>
          <w:rFonts w:ascii="Palatino Linotype" w:eastAsia="Palatino Linotype" w:hAnsi="Palatino Linotype" w:cs="Palatino Linotype"/>
        </w:rPr>
        <w:t>НА ФИНАНСОВИТЕ ПОТОЦИ ПО УПРАВЛЕНИЕ НА ДЕЙНОСТИТЕ С ОТПАДЪЦИТЕ</w:t>
      </w: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8D6A97">
      <w:pPr>
        <w:spacing w:after="0" w:line="240" w:lineRule="auto"/>
        <w:jc w:val="both"/>
        <w:rPr>
          <w:rFonts w:ascii="Palatino Linotype" w:eastAsia="Palatino Linotype" w:hAnsi="Palatino Linotype" w:cs="Palatino Linotype"/>
          <w:b/>
          <w:sz w:val="24"/>
          <w:szCs w:val="24"/>
        </w:rPr>
      </w:pPr>
    </w:p>
    <w:p w:rsidR="008D6A97" w:rsidRDefault="0029088D">
      <w:pPr>
        <w:pBdr>
          <w:bottom w:val="single" w:sz="4" w:space="1" w:color="843C0B"/>
        </w:pBdr>
        <w:spacing w:after="0" w:line="240" w:lineRule="auto"/>
        <w:jc w:val="both"/>
        <w:rPr>
          <w:rFonts w:ascii="Palatino Linotype" w:eastAsia="Palatino Linotype" w:hAnsi="Palatino Linotype" w:cs="Palatino Linotype"/>
          <w:b/>
        </w:rPr>
      </w:pPr>
      <w:r>
        <w:rPr>
          <w:rFonts w:ascii="Palatino Linotype" w:eastAsia="Palatino Linotype" w:hAnsi="Palatino Linotype" w:cs="Palatino Linotype"/>
          <w:b/>
          <w:sz w:val="24"/>
          <w:szCs w:val="24"/>
        </w:rPr>
        <w:lastRenderedPageBreak/>
        <w:t>4.11.</w:t>
      </w:r>
      <w:r>
        <w:rPr>
          <w:rFonts w:ascii="Palatino Linotype" w:eastAsia="Palatino Linotype" w:hAnsi="Palatino Linotype" w:cs="Palatino Linotype"/>
          <w:sz w:val="24"/>
          <w:szCs w:val="24"/>
        </w:rPr>
        <w:t xml:space="preserve"> </w:t>
      </w:r>
      <w:r>
        <w:rPr>
          <w:rFonts w:ascii="Palatino Linotype" w:eastAsia="Palatino Linotype" w:hAnsi="Palatino Linotype" w:cs="Palatino Linotype"/>
          <w:b/>
        </w:rPr>
        <w:t>АНАЛИЗ НА ФИНАНСОВИТЕ ПОТОЦИ ПО УПРАВЛЕНИЕ НА ДЕЙНОСТИТЕ С ОТПАДЪЦИТЕ</w:t>
      </w:r>
    </w:p>
    <w:p w:rsidR="008D6A97" w:rsidRDefault="008D6A97">
      <w:pPr>
        <w:spacing w:after="0" w:line="276" w:lineRule="auto"/>
        <w:rPr>
          <w:rFonts w:ascii="Palatino Linotype" w:eastAsia="Palatino Linotype" w:hAnsi="Palatino Linotype" w:cs="Palatino Linotype"/>
          <w:b/>
        </w:rPr>
      </w:pPr>
    </w:p>
    <w:p w:rsidR="008D6A97" w:rsidRDefault="0029088D">
      <w:pPr>
        <w:spacing w:after="80" w:line="276" w:lineRule="auto"/>
        <w:rPr>
          <w:rFonts w:ascii="Palatino Linotype" w:eastAsia="Palatino Linotype" w:hAnsi="Palatino Linotype" w:cs="Palatino Linotype"/>
          <w:b/>
        </w:rPr>
      </w:pPr>
      <w:r>
        <w:rPr>
          <w:rFonts w:ascii="Palatino Linotype" w:eastAsia="Palatino Linotype" w:hAnsi="Palatino Linotype" w:cs="Palatino Linotype"/>
          <w:b/>
        </w:rPr>
        <w:t>Въведение</w:t>
      </w:r>
    </w:p>
    <w:p w:rsidR="008D6A97" w:rsidRDefault="0029088D">
      <w:pPr>
        <w:spacing w:before="80" w:after="0" w:line="276" w:lineRule="auto"/>
        <w:rPr>
          <w:rFonts w:ascii="Palatino Linotype" w:eastAsia="Palatino Linotype" w:hAnsi="Palatino Linotype" w:cs="Palatino Linotype"/>
        </w:rPr>
      </w:pPr>
      <w:r>
        <w:rPr>
          <w:rFonts w:ascii="Palatino Linotype" w:eastAsia="Palatino Linotype" w:hAnsi="Palatino Linotype" w:cs="Palatino Linotype"/>
        </w:rPr>
        <w:t>Настоящият анализ е изготвен с цел да даде отговор на следните въпроси:</w:t>
      </w:r>
    </w:p>
    <w:p w:rsidR="008D6A97" w:rsidRDefault="0029088D">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Какви са тенденциите в разходите на общината за анализирания период по години – общо и по категории разходи, съгласно отчетите за изпълнението на план - сметката за дейностите по чл. 66 от ЗМДТ</w:t>
      </w:r>
    </w:p>
    <w:p w:rsidR="008D6A97" w:rsidRDefault="0029088D">
      <w:pPr>
        <w:numPr>
          <w:ilvl w:val="0"/>
          <w:numId w:val="5"/>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Кои са източниците и формите на финансиране на управлението на битовите отпадъци и относителният им дял, тенденции, сравнения</w:t>
      </w:r>
    </w:p>
    <w:p w:rsidR="008D6A97" w:rsidRDefault="008D6A97">
      <w:pPr>
        <w:spacing w:after="0" w:line="276" w:lineRule="auto"/>
        <w:jc w:val="both"/>
        <w:rPr>
          <w:rFonts w:ascii="Palatino Linotype" w:eastAsia="Palatino Linotype" w:hAnsi="Palatino Linotype" w:cs="Palatino Linotype"/>
        </w:rPr>
      </w:pPr>
    </w:p>
    <w:p w:rsidR="008D6A97" w:rsidRDefault="0029088D">
      <w:pP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Информационна обезпеченост</w:t>
      </w:r>
    </w:p>
    <w:p w:rsidR="008D6A97" w:rsidRDefault="0029088D">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Като методологична основа при извършването на анализа са ползвани данни от НПУО 2021 – 2028 г., наредби и решения одобрени от Столичен общински съвет, отчети на общината относно разходите за управление на отпадъците, разходи за управление на отпадъците, съгласно план-сметка за дейностите по чл. 66 от ЗМДТ.</w:t>
      </w:r>
    </w:p>
    <w:p w:rsidR="008D6A97" w:rsidRDefault="008D6A97">
      <w:pPr>
        <w:spacing w:after="0" w:line="276" w:lineRule="auto"/>
        <w:jc w:val="both"/>
        <w:rPr>
          <w:rFonts w:ascii="Palatino Linotype" w:eastAsia="Palatino Linotype" w:hAnsi="Palatino Linotype" w:cs="Palatino Linotype"/>
        </w:rPr>
      </w:pPr>
    </w:p>
    <w:p w:rsidR="008D6A97" w:rsidRDefault="0029088D">
      <w:pPr>
        <w:pBdr>
          <w:bottom w:val="single" w:sz="4" w:space="1" w:color="385623"/>
        </w:pBdr>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4.11.1. Анализ на финансовите потоци по управление на дейностите с отпадъци</w:t>
      </w:r>
    </w:p>
    <w:p w:rsidR="008D6A97" w:rsidRDefault="0029088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НПУО 2021-2028 г. през периода 2008-2013 г. разходите за управление на отпадъците имат най-висок дял в общите разходи за опазване на околната среда в България като този дял непрекъснато нараства през анализирания период и изпреварват всички останали сектори на околната среда.</w:t>
      </w:r>
    </w:p>
    <w:p w:rsidR="008D6A97" w:rsidRDefault="0029088D">
      <w:p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Преобладаващата част от разходите по управление на отпадъците в страната през този период се формират от оперативни разходи. В сравнение с другия голям сектор на опазването на околната среда – управлението на отпадъчните води, при управлението на отпадъците делът на инвестициите в общата структура на разходите през този период е сравнително нисък.</w:t>
      </w:r>
    </w:p>
    <w:p w:rsidR="008D6A97" w:rsidRDefault="0029088D">
      <w:pP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тази връзка общата динамика на разходите за управление на отпадъците в страната се определя от нарастващите оперативни разходи на бизнеса и общините в резултат от усилията им за постигане на различните нормативни изисквания и цели, свързани с управлението на отпадъците и др.</w:t>
      </w:r>
    </w:p>
    <w:p w:rsidR="008D6A97" w:rsidRDefault="008D6A97">
      <w:pPr>
        <w:spacing w:after="0" w:line="276" w:lineRule="auto"/>
        <w:jc w:val="both"/>
        <w:rPr>
          <w:rFonts w:ascii="Palatino Linotype" w:eastAsia="Palatino Linotype" w:hAnsi="Palatino Linotype" w:cs="Palatino Linotype"/>
          <w:color w:val="000000"/>
        </w:rPr>
      </w:pPr>
    </w:p>
    <w:p w:rsidR="008D6A97" w:rsidRDefault="0029088D">
      <w:pPr>
        <w:numPr>
          <w:ilvl w:val="0"/>
          <w:numId w:val="4"/>
        </w:numPr>
        <w:spacing w:line="276" w:lineRule="auto"/>
        <w:jc w:val="both"/>
        <w:rPr>
          <w:rFonts w:ascii="Palatino Linotype" w:eastAsia="Palatino Linotype" w:hAnsi="Palatino Linotype" w:cs="Palatino Linotype"/>
        </w:rPr>
      </w:pPr>
      <w:bookmarkStart w:id="1" w:name="_heading=h.gjdgxs" w:colFirst="0" w:colLast="0"/>
      <w:bookmarkEnd w:id="1"/>
      <w:r>
        <w:rPr>
          <w:rFonts w:ascii="Palatino Linotype" w:eastAsia="Palatino Linotype" w:hAnsi="Palatino Linotype" w:cs="Palatino Linotype"/>
        </w:rPr>
        <w:t>Разходите за управление на отпадъците в абсолютна сума и на 1 жител, на тон отпадъци, тенденции</w:t>
      </w:r>
    </w:p>
    <w:p w:rsidR="008D6A97" w:rsidRDefault="0029088D">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На база на представените отчети от Столична  община се изчисляват разходите за управление на отпадъците в абсолютна сума на един жител и на тон отпадък.</w:t>
      </w: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color w:val="44546A"/>
          <w:sz w:val="20"/>
          <w:szCs w:val="20"/>
        </w:rPr>
      </w:pPr>
      <w:r>
        <w:rPr>
          <w:i/>
          <w:color w:val="44546A"/>
          <w:sz w:val="18"/>
          <w:szCs w:val="18"/>
        </w:rPr>
        <w:lastRenderedPageBreak/>
        <w:t>Таблица 1</w:t>
      </w:r>
      <w:r>
        <w:rPr>
          <w:rFonts w:ascii="Palatino Linotype" w:eastAsia="Palatino Linotype" w:hAnsi="Palatino Linotype" w:cs="Palatino Linotype"/>
          <w:i/>
          <w:color w:val="44546A"/>
          <w:sz w:val="20"/>
          <w:szCs w:val="20"/>
        </w:rPr>
        <w:t xml:space="preserve"> Разходите за управление на отпадъците в абсолютна сума и на 1 жител, на тон отпадъци, тенденции</w:t>
      </w:r>
    </w:p>
    <w:tbl>
      <w:tblPr>
        <w:tblStyle w:val="a5"/>
        <w:tblW w:w="9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3"/>
        <w:gridCol w:w="1288"/>
        <w:gridCol w:w="1286"/>
        <w:gridCol w:w="1286"/>
        <w:gridCol w:w="1176"/>
        <w:gridCol w:w="1320"/>
      </w:tblGrid>
      <w:tr w:rsidR="008D6A97" w:rsidTr="00A42C9F">
        <w:trPr>
          <w:trHeight w:val="20"/>
        </w:trPr>
        <w:tc>
          <w:tcPr>
            <w:tcW w:w="3113" w:type="dxa"/>
            <w:tcBorders>
              <w:top w:val="single" w:sz="4" w:space="0" w:color="000000"/>
              <w:left w:val="single" w:sz="4" w:space="0" w:color="000000"/>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Година</w:t>
            </w:r>
          </w:p>
        </w:tc>
        <w:tc>
          <w:tcPr>
            <w:tcW w:w="1288" w:type="dxa"/>
            <w:tcBorders>
              <w:top w:val="single" w:sz="4" w:space="0" w:color="000000"/>
              <w:left w:val="nil"/>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2016</w:t>
            </w:r>
          </w:p>
        </w:tc>
        <w:tc>
          <w:tcPr>
            <w:tcW w:w="1286" w:type="dxa"/>
            <w:tcBorders>
              <w:top w:val="single" w:sz="4" w:space="0" w:color="000000"/>
              <w:left w:val="nil"/>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2017</w:t>
            </w:r>
          </w:p>
        </w:tc>
        <w:tc>
          <w:tcPr>
            <w:tcW w:w="1286" w:type="dxa"/>
            <w:tcBorders>
              <w:top w:val="single" w:sz="4" w:space="0" w:color="000000"/>
              <w:left w:val="nil"/>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2018</w:t>
            </w:r>
          </w:p>
        </w:tc>
        <w:tc>
          <w:tcPr>
            <w:tcW w:w="1176" w:type="dxa"/>
            <w:tcBorders>
              <w:top w:val="single" w:sz="4" w:space="0" w:color="000000"/>
              <w:left w:val="nil"/>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2019</w:t>
            </w:r>
          </w:p>
        </w:tc>
        <w:tc>
          <w:tcPr>
            <w:tcW w:w="1320" w:type="dxa"/>
            <w:tcBorders>
              <w:top w:val="single" w:sz="4" w:space="0" w:color="000000"/>
              <w:left w:val="nil"/>
              <w:bottom w:val="single" w:sz="4" w:space="0" w:color="000000"/>
              <w:right w:val="single" w:sz="4" w:space="0" w:color="000000"/>
            </w:tcBorders>
            <w:shd w:val="clear" w:color="auto" w:fill="8497B0"/>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2020</w:t>
            </w:r>
          </w:p>
        </w:tc>
      </w:tr>
      <w:tr w:rsidR="008D6A97" w:rsidTr="00A42C9F">
        <w:trPr>
          <w:trHeight w:val="623"/>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Общо разходи за управление на отпадъците (лв.)</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173 577 295</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172 806 770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183 808 888</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205 985 776</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217 166 644</w:t>
            </w:r>
          </w:p>
        </w:tc>
      </w:tr>
      <w:tr w:rsidR="008D6A97" w:rsidTr="00A42C9F">
        <w:trPr>
          <w:trHeight w:val="623"/>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Брой жители</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1 323 637</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1 325 429</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1 328 120</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1 328 790</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1 308412</w:t>
            </w:r>
          </w:p>
        </w:tc>
      </w:tr>
      <w:tr w:rsidR="008D6A97" w:rsidTr="00A42C9F">
        <w:trPr>
          <w:trHeight w:val="20"/>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Разходи на един жител, лв.</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131,14</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130,38</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138,40</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155,02</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165,98</w:t>
            </w:r>
          </w:p>
        </w:tc>
      </w:tr>
      <w:tr w:rsidR="008D6A97" w:rsidTr="00A42C9F">
        <w:trPr>
          <w:trHeight w:val="20"/>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Количество битови отпадъци (т)</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324024</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356123</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366301</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388384</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390321</w:t>
            </w:r>
          </w:p>
        </w:tc>
      </w:tr>
      <w:tr w:rsidR="008D6A97" w:rsidTr="00A42C9F">
        <w:trPr>
          <w:trHeight w:val="20"/>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Разходи на един тон отпадъци, лв.</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535,69</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485,24</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501,80</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530,37</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8D6A97" w:rsidRDefault="0029088D">
            <w:pPr>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556,38</w:t>
            </w:r>
          </w:p>
        </w:tc>
      </w:tr>
      <w:tr w:rsidR="00A42C9F" w:rsidTr="00A42C9F">
        <w:trPr>
          <w:trHeight w:val="20"/>
        </w:trPr>
        <w:tc>
          <w:tcPr>
            <w:tcW w:w="3113"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both"/>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Разходи на един тон отпадъци, без разходи за почистване на обществените места, лв.</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right"/>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347,19</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right"/>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298,20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right"/>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308,24</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right"/>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328,25</w:t>
            </w: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rsidR="00A42C9F" w:rsidRDefault="00A42C9F" w:rsidP="00A42C9F">
            <w:pPr>
              <w:jc w:val="right"/>
              <w:rPr>
                <w:rFonts w:ascii="Palatino Linotype" w:eastAsia="Palatino Linotype" w:hAnsi="Palatino Linotype" w:cs="Palatino Linotype"/>
                <w:color w:val="000000"/>
                <w:sz w:val="20"/>
                <w:szCs w:val="20"/>
              </w:rPr>
            </w:pPr>
            <w:r w:rsidRPr="00A42C9F">
              <w:rPr>
                <w:rFonts w:ascii="Palatino Linotype" w:eastAsia="Palatino Linotype" w:hAnsi="Palatino Linotype" w:cs="Palatino Linotype"/>
                <w:color w:val="000000"/>
                <w:sz w:val="20"/>
                <w:szCs w:val="20"/>
              </w:rPr>
              <w:t>338,10</w:t>
            </w:r>
          </w:p>
        </w:tc>
      </w:tr>
    </w:tbl>
    <w:p w:rsidR="008D6A97" w:rsidRDefault="0029088D">
      <w:pPr>
        <w:jc w:val="both"/>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Източник: Брой жители – НСИ, Столична община, собствени изчисления</w:t>
      </w:r>
    </w:p>
    <w:p w:rsidR="008D6A97" w:rsidRDefault="0029088D">
      <w:pPr>
        <w:spacing w:after="9"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 представените данни в горната таблица за Столична община относно разходите за управление на отпадъците през периода 2016 – 2020 г. се установява трайна тенденция на нарастване на извършените разходи през годините. </w:t>
      </w:r>
    </w:p>
    <w:p w:rsidR="008D6A97" w:rsidRDefault="008D6A97">
      <w:pPr>
        <w:spacing w:after="9" w:line="276" w:lineRule="auto"/>
        <w:jc w:val="both"/>
        <w:rPr>
          <w:rFonts w:ascii="Palatino Linotype" w:eastAsia="Palatino Linotype" w:hAnsi="Palatino Linotype" w:cs="Palatino Linotype"/>
        </w:rPr>
      </w:pPr>
    </w:p>
    <w:p w:rsidR="008D6A97" w:rsidRDefault="0029088D">
      <w:pPr>
        <w:spacing w:after="9" w:line="276" w:lineRule="auto"/>
        <w:jc w:val="center"/>
        <w:rPr>
          <w:rFonts w:ascii="Palatino Linotype" w:eastAsia="Palatino Linotype" w:hAnsi="Palatino Linotype" w:cs="Palatino Linotype"/>
        </w:rPr>
      </w:pPr>
      <w:r>
        <w:rPr>
          <w:rFonts w:ascii="Palatino Linotype" w:eastAsia="Palatino Linotype" w:hAnsi="Palatino Linotype" w:cs="Palatino Linotype"/>
          <w:noProof/>
          <w:lang w:val="en-US" w:eastAsia="en-US"/>
        </w:rPr>
        <w:drawing>
          <wp:inline distT="0" distB="0" distL="0" distR="0">
            <wp:extent cx="4985175" cy="2983189"/>
            <wp:effectExtent l="0" t="0" r="0" b="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4985175" cy="2983189"/>
                    </a:xfrm>
                    <a:prstGeom prst="rect">
                      <a:avLst/>
                    </a:prstGeom>
                    <a:ln/>
                  </pic:spPr>
                </pic:pic>
              </a:graphicData>
            </a:graphic>
          </wp:inline>
        </w:drawing>
      </w:r>
    </w:p>
    <w:p w:rsidR="008D6A97" w:rsidRDefault="0029088D">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rPr>
      </w:pPr>
      <w:r>
        <w:rPr>
          <w:rFonts w:ascii="Palatino Linotype" w:eastAsia="Palatino Linotype" w:hAnsi="Palatino Linotype" w:cs="Palatino Linotype"/>
          <w:i/>
          <w:color w:val="44546A"/>
        </w:rPr>
        <w:t>Фигура 1 Тенденция в разходите за управление на отпадъците</w:t>
      </w:r>
    </w:p>
    <w:p w:rsidR="008D6A97" w:rsidRDefault="008D6A97">
      <w:pPr>
        <w:spacing w:after="9" w:line="276" w:lineRule="auto"/>
        <w:jc w:val="both"/>
        <w:rPr>
          <w:rFonts w:ascii="Palatino Linotype" w:eastAsia="Palatino Linotype" w:hAnsi="Palatino Linotype" w:cs="Palatino Linotype"/>
        </w:rPr>
      </w:pPr>
    </w:p>
    <w:p w:rsidR="008D6A97" w:rsidRDefault="0029088D">
      <w:pPr>
        <w:spacing w:after="9" w:line="276" w:lineRule="auto"/>
        <w:jc w:val="center"/>
        <w:rPr>
          <w:rFonts w:ascii="Palatino Linotype" w:eastAsia="Palatino Linotype" w:hAnsi="Palatino Linotype" w:cs="Palatino Linotype"/>
        </w:rPr>
      </w:pPr>
      <w:r>
        <w:rPr>
          <w:rFonts w:ascii="Palatino Linotype" w:eastAsia="Palatino Linotype" w:hAnsi="Palatino Linotype" w:cs="Palatino Linotype"/>
          <w:noProof/>
          <w:lang w:val="en-US" w:eastAsia="en-US"/>
        </w:rPr>
        <w:lastRenderedPageBreak/>
        <w:drawing>
          <wp:inline distT="0" distB="0" distL="0" distR="0">
            <wp:extent cx="4584700" cy="2755900"/>
            <wp:effectExtent l="0" t="0" r="0" b="0"/>
            <wp:docPr id="1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4584700" cy="2755900"/>
                    </a:xfrm>
                    <a:prstGeom prst="rect">
                      <a:avLst/>
                    </a:prstGeom>
                    <a:ln/>
                  </pic:spPr>
                </pic:pic>
              </a:graphicData>
            </a:graphic>
          </wp:inline>
        </w:drawing>
      </w:r>
    </w:p>
    <w:p w:rsidR="008D6A97" w:rsidRDefault="0029088D">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18"/>
          <w:szCs w:val="18"/>
        </w:rPr>
      </w:pPr>
      <w:r>
        <w:rPr>
          <w:rFonts w:ascii="Palatino Linotype" w:eastAsia="Palatino Linotype" w:hAnsi="Palatino Linotype" w:cs="Palatino Linotype"/>
          <w:i/>
          <w:color w:val="44546A"/>
          <w:sz w:val="18"/>
          <w:szCs w:val="18"/>
        </w:rPr>
        <w:t>Фигура 2 тенденция в разходите за управление на отпадъците на 1 жител</w:t>
      </w:r>
    </w:p>
    <w:p w:rsidR="008D6A97" w:rsidRDefault="00A42C9F">
      <w:pPr>
        <w:jc w:val="center"/>
      </w:pPr>
      <w:r>
        <w:rPr>
          <w:noProof/>
          <w:lang w:val="en-US" w:eastAsia="en-US"/>
        </w:rPr>
        <w:drawing>
          <wp:inline distT="0" distB="0" distL="0" distR="0" wp14:anchorId="2EC5EBAD" wp14:editId="79EF1EF1">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D6A97" w:rsidRDefault="0029088D">
      <w:pPr>
        <w:pBdr>
          <w:top w:val="nil"/>
          <w:left w:val="nil"/>
          <w:bottom w:val="nil"/>
          <w:right w:val="nil"/>
          <w:between w:val="nil"/>
        </w:pBdr>
        <w:spacing w:after="200" w:line="240" w:lineRule="auto"/>
        <w:jc w:val="center"/>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 xml:space="preserve">Фигура 3 </w:t>
      </w:r>
      <w:r w:rsidR="00A42C9F" w:rsidRPr="00A42C9F">
        <w:rPr>
          <w:rFonts w:ascii="Palatino Linotype" w:eastAsia="Palatino Linotype" w:hAnsi="Palatino Linotype" w:cs="Palatino Linotype"/>
          <w:i/>
          <w:color w:val="44546A"/>
          <w:sz w:val="20"/>
          <w:szCs w:val="20"/>
        </w:rPr>
        <w:t>Тенденция в разходите(без разходи за почистване на обществените места) за управление на отпадъците на 1 тон отпадък</w:t>
      </w:r>
      <w:r w:rsidR="00A42C9F" w:rsidRPr="00A42C9F" w:rsidDel="00A42C9F">
        <w:rPr>
          <w:rFonts w:ascii="Palatino Linotype" w:eastAsia="Palatino Linotype" w:hAnsi="Palatino Linotype" w:cs="Palatino Linotype"/>
          <w:i/>
          <w:color w:val="44546A"/>
          <w:sz w:val="20"/>
          <w:szCs w:val="20"/>
        </w:rPr>
        <w:t xml:space="preserve"> </w:t>
      </w:r>
    </w:p>
    <w:p w:rsidR="008D6A97" w:rsidRDefault="0029088D">
      <w:pPr>
        <w:spacing w:after="9" w:line="276" w:lineRule="auto"/>
        <w:jc w:val="both"/>
        <w:rPr>
          <w:rFonts w:ascii="Palatino Linotype" w:eastAsia="Palatino Linotype" w:hAnsi="Palatino Linotype" w:cs="Palatino Linotype"/>
        </w:rPr>
      </w:pPr>
      <w:r>
        <w:rPr>
          <w:rFonts w:ascii="Palatino Linotype" w:eastAsia="Palatino Linotype" w:hAnsi="Palatino Linotype" w:cs="Palatino Linotype"/>
        </w:rPr>
        <w:t>На база разработения Анализ на финансовите потоци в управлението на отпадъците в България  към НПУО 2021-2028 г.  относно направените оперативни разходи на един жител и на тон отпадък през 2018 г. правим следните изводи:</w:t>
      </w:r>
    </w:p>
    <w:p w:rsidR="008D6A97" w:rsidRDefault="0029088D">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Разходите за управление на отпадъците на един жител в Столична община надвишават средното за страната (95,91 лв./жител) и разходите за много големи общини (над 100 хил. жители) – 85,53 лв./жител </w:t>
      </w:r>
    </w:p>
    <w:p w:rsidR="008D6A97" w:rsidRDefault="0029088D" w:rsidP="00A42C9F">
      <w:pPr>
        <w:numPr>
          <w:ilvl w:val="0"/>
          <w:numId w:val="9"/>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Разходите на 1 тон отпадък в Столична община </w:t>
      </w:r>
      <w:r w:rsidR="00A42C9F" w:rsidRPr="00A42C9F">
        <w:rPr>
          <w:rFonts w:ascii="Palatino Linotype" w:eastAsia="Palatino Linotype" w:hAnsi="Palatino Linotype" w:cs="Palatino Linotype"/>
          <w:color w:val="000000"/>
        </w:rPr>
        <w:t>за 2018г (308,24лв.),</w:t>
      </w:r>
      <w:r w:rsidR="00A42C9F">
        <w:rPr>
          <w:rFonts w:ascii="Palatino Linotype" w:eastAsia="Palatino Linotype" w:hAnsi="Palatino Linotype" w:cs="Palatino Linotype"/>
          <w:color w:val="000000"/>
        </w:rPr>
        <w:t xml:space="preserve"> </w:t>
      </w:r>
      <w:r>
        <w:rPr>
          <w:rFonts w:ascii="Palatino Linotype" w:eastAsia="Palatino Linotype" w:hAnsi="Palatino Linotype" w:cs="Palatino Linotype"/>
          <w:color w:val="000000"/>
        </w:rPr>
        <w:t>надвишават средното за страната (143,97 лв./тон отпадък) и разходите за много големи общини (над 100 хил. жители) – 163,83 лв./тон отпадък</w:t>
      </w:r>
      <w:r w:rsidR="00A42C9F">
        <w:rPr>
          <w:rFonts w:ascii="Palatino Linotype" w:eastAsia="Palatino Linotype" w:hAnsi="Palatino Linotype" w:cs="Palatino Linotype"/>
          <w:color w:val="000000"/>
        </w:rPr>
        <w:t xml:space="preserve">, </w:t>
      </w:r>
      <w:r w:rsidR="00A42C9F" w:rsidRPr="00A42C9F">
        <w:rPr>
          <w:rFonts w:ascii="Palatino Linotype" w:eastAsia="Palatino Linotype" w:hAnsi="Palatino Linotype" w:cs="Palatino Linotype"/>
          <w:color w:val="000000"/>
        </w:rPr>
        <w:t>определени за 2018г.</w:t>
      </w:r>
    </w:p>
    <w:p w:rsidR="008D6A97" w:rsidRDefault="0029088D">
      <w:pPr>
        <w:numPr>
          <w:ilvl w:val="0"/>
          <w:numId w:val="4"/>
        </w:numPr>
        <w:spacing w:line="276" w:lineRule="auto"/>
        <w:ind w:left="0" w:firstLine="360"/>
        <w:jc w:val="both"/>
        <w:rPr>
          <w:rFonts w:ascii="Palatino Linotype" w:eastAsia="Palatino Linotype" w:hAnsi="Palatino Linotype" w:cs="Palatino Linotype"/>
        </w:rPr>
      </w:pPr>
      <w:bookmarkStart w:id="2" w:name="_heading=h.30j0zll" w:colFirst="0" w:colLast="0"/>
      <w:bookmarkEnd w:id="2"/>
      <w:r>
        <w:rPr>
          <w:rFonts w:ascii="Palatino Linotype" w:eastAsia="Palatino Linotype" w:hAnsi="Palatino Linotype" w:cs="Palatino Linotype"/>
        </w:rPr>
        <w:lastRenderedPageBreak/>
        <w:t>Разходи за управление на отпадъците по категории разходи съгласно план - сметката за дейностите по чл. 66 от ЗМДТ и предвид отчетите за изпълнението на тази план - сметката– за всяка година на периода 2016-2020 г.  и общо за периода</w:t>
      </w:r>
    </w:p>
    <w:p w:rsidR="008D6A97" w:rsidRDefault="0029088D">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следващата таблица представяме общо изразходваните суми за периода 2016-2020 г. за управление на отпадъците от Столична община.</w:t>
      </w: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color w:val="44546A"/>
          <w:sz w:val="20"/>
          <w:szCs w:val="20"/>
        </w:rPr>
      </w:pPr>
      <w:r>
        <w:rPr>
          <w:i/>
          <w:color w:val="44546A"/>
          <w:sz w:val="18"/>
          <w:szCs w:val="18"/>
        </w:rPr>
        <w:t xml:space="preserve">Таблица 2 </w:t>
      </w:r>
      <w:r>
        <w:rPr>
          <w:rFonts w:ascii="Palatino Linotype" w:eastAsia="Palatino Linotype" w:hAnsi="Palatino Linotype" w:cs="Palatino Linotype"/>
          <w:i/>
          <w:color w:val="44546A"/>
          <w:sz w:val="20"/>
          <w:szCs w:val="20"/>
        </w:rPr>
        <w:t>Разходи за управление на отпадъците за периода 2016 – 2020 г. на Столична община</w:t>
      </w:r>
    </w:p>
    <w:tbl>
      <w:tblPr>
        <w:tblStyle w:val="a6"/>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1134"/>
        <w:gridCol w:w="1317"/>
        <w:gridCol w:w="1134"/>
        <w:gridCol w:w="1134"/>
        <w:gridCol w:w="1134"/>
      </w:tblGrid>
      <w:tr w:rsidR="008D6A97">
        <w:trPr>
          <w:trHeight w:val="227"/>
          <w:tblHeade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CB9CA"/>
          </w:tcPr>
          <w:p w:rsidR="008D6A97" w:rsidRDefault="0029088D">
            <w:pPr>
              <w:jc w:val="both"/>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Година</w:t>
            </w:r>
          </w:p>
        </w:tc>
        <w:tc>
          <w:tcPr>
            <w:tcW w:w="1134" w:type="dxa"/>
            <w:tcBorders>
              <w:top w:val="single" w:sz="4" w:space="0" w:color="000000"/>
              <w:left w:val="single" w:sz="4" w:space="0" w:color="000000"/>
              <w:bottom w:val="single" w:sz="4" w:space="0" w:color="000000"/>
              <w:right w:val="single" w:sz="4" w:space="0" w:color="000000"/>
            </w:tcBorders>
            <w:shd w:val="clear" w:color="auto" w:fill="ACB9CA"/>
            <w:vAlign w:val="center"/>
          </w:tcPr>
          <w:p w:rsidR="008D6A97" w:rsidRDefault="0029088D">
            <w:pPr>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317" w:type="dxa"/>
            <w:tcBorders>
              <w:top w:val="single" w:sz="4" w:space="0" w:color="000000"/>
              <w:left w:val="single" w:sz="4" w:space="0" w:color="000000"/>
              <w:bottom w:val="single" w:sz="4" w:space="0" w:color="000000"/>
              <w:right w:val="single" w:sz="4" w:space="0" w:color="000000"/>
            </w:tcBorders>
            <w:shd w:val="clear" w:color="auto" w:fill="ACB9CA"/>
            <w:vAlign w:val="center"/>
          </w:tcPr>
          <w:p w:rsidR="008D6A97" w:rsidRDefault="0029088D">
            <w:pPr>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134" w:type="dxa"/>
            <w:tcBorders>
              <w:top w:val="single" w:sz="4" w:space="0" w:color="000000"/>
              <w:left w:val="single" w:sz="4" w:space="0" w:color="000000"/>
              <w:bottom w:val="single" w:sz="4" w:space="0" w:color="000000"/>
              <w:right w:val="single" w:sz="4" w:space="0" w:color="000000"/>
            </w:tcBorders>
            <w:shd w:val="clear" w:color="auto" w:fill="ACB9CA"/>
            <w:vAlign w:val="center"/>
          </w:tcPr>
          <w:p w:rsidR="008D6A97" w:rsidRDefault="0029088D">
            <w:pPr>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134" w:type="dxa"/>
            <w:tcBorders>
              <w:top w:val="single" w:sz="4" w:space="0" w:color="000000"/>
              <w:left w:val="single" w:sz="4" w:space="0" w:color="000000"/>
              <w:bottom w:val="single" w:sz="4" w:space="0" w:color="000000"/>
              <w:right w:val="single" w:sz="4" w:space="0" w:color="000000"/>
            </w:tcBorders>
            <w:shd w:val="clear" w:color="auto" w:fill="ACB9CA"/>
            <w:vAlign w:val="center"/>
          </w:tcPr>
          <w:p w:rsidR="008D6A97" w:rsidRDefault="0029088D">
            <w:pPr>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1134" w:type="dxa"/>
            <w:tcBorders>
              <w:top w:val="single" w:sz="4" w:space="0" w:color="000000"/>
              <w:left w:val="single" w:sz="4" w:space="0" w:color="000000"/>
              <w:bottom w:val="single" w:sz="4" w:space="0" w:color="000000"/>
              <w:right w:val="single" w:sz="4" w:space="0" w:color="000000"/>
            </w:tcBorders>
            <w:shd w:val="clear" w:color="auto" w:fill="ACB9CA"/>
          </w:tcPr>
          <w:p w:rsidR="008D6A97" w:rsidRDefault="0029088D">
            <w:pPr>
              <w:jc w:val="both"/>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8D6A97">
        <w:trPr>
          <w:jc w:val="center"/>
        </w:trPr>
        <w:tc>
          <w:tcPr>
            <w:tcW w:w="3539" w:type="dxa"/>
            <w:tcBorders>
              <w:top w:val="single" w:sz="4" w:space="0" w:color="000000"/>
              <w:left w:val="single" w:sz="4" w:space="0" w:color="000000"/>
              <w:bottom w:val="single" w:sz="4" w:space="0" w:color="000000"/>
              <w:right w:val="single" w:sz="4" w:space="0" w:color="000000"/>
            </w:tcBorders>
          </w:tcPr>
          <w:p w:rsidR="008D6A97" w:rsidRDefault="0029088D">
            <w:pPr>
              <w:jc w:val="both"/>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Общо разходи за управление на отпадъците (хил. лв.)</w:t>
            </w:r>
          </w:p>
        </w:tc>
        <w:tc>
          <w:tcPr>
            <w:tcW w:w="1134" w:type="dxa"/>
            <w:tcBorders>
              <w:top w:val="nil"/>
              <w:left w:val="nil"/>
              <w:bottom w:val="single" w:sz="8" w:space="0" w:color="000000"/>
              <w:right w:val="single" w:sz="8" w:space="0" w:color="000000"/>
            </w:tcBorders>
            <w:vAlign w:val="center"/>
          </w:tcPr>
          <w:p w:rsidR="008D6A97" w:rsidRDefault="0029088D">
            <w:pPr>
              <w:spacing w:after="120"/>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173 577 295</w:t>
            </w:r>
          </w:p>
        </w:tc>
        <w:tc>
          <w:tcPr>
            <w:tcW w:w="1317" w:type="dxa"/>
          </w:tcPr>
          <w:p w:rsidR="008D6A97" w:rsidRDefault="0029088D">
            <w:pPr>
              <w:spacing w:after="120"/>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172 806 770</w:t>
            </w:r>
          </w:p>
        </w:tc>
        <w:tc>
          <w:tcPr>
            <w:tcW w:w="1134" w:type="dxa"/>
          </w:tcPr>
          <w:p w:rsidR="008D6A97" w:rsidRDefault="0029088D">
            <w:pPr>
              <w:spacing w:after="120"/>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183 808 888</w:t>
            </w:r>
          </w:p>
        </w:tc>
        <w:tc>
          <w:tcPr>
            <w:tcW w:w="1134" w:type="dxa"/>
          </w:tcPr>
          <w:p w:rsidR="008D6A97" w:rsidRDefault="0029088D">
            <w:pPr>
              <w:spacing w:after="120"/>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205 985 776</w:t>
            </w:r>
          </w:p>
        </w:tc>
        <w:tc>
          <w:tcPr>
            <w:tcW w:w="1134" w:type="dxa"/>
          </w:tcPr>
          <w:p w:rsidR="008D6A97" w:rsidRDefault="0029088D">
            <w:pPr>
              <w:spacing w:after="120"/>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217 166 644</w:t>
            </w:r>
          </w:p>
        </w:tc>
      </w:tr>
      <w:tr w:rsidR="008D6A97">
        <w:trPr>
          <w:trHeight w:val="168"/>
          <w:jc w:val="center"/>
        </w:trPr>
        <w:tc>
          <w:tcPr>
            <w:tcW w:w="9392" w:type="dxa"/>
            <w:gridSpan w:val="6"/>
            <w:tcBorders>
              <w:top w:val="single" w:sz="4" w:space="0" w:color="000000"/>
              <w:left w:val="single" w:sz="4" w:space="0" w:color="000000"/>
              <w:bottom w:val="single" w:sz="4" w:space="0" w:color="000000"/>
              <w:right w:val="single" w:sz="4" w:space="0" w:color="000000"/>
            </w:tcBorders>
          </w:tcPr>
          <w:p w:rsidR="008D6A97" w:rsidRDefault="008D6A97">
            <w:pPr>
              <w:jc w:val="both"/>
              <w:rPr>
                <w:rFonts w:ascii="Palatino Linotype" w:eastAsia="Palatino Linotype" w:hAnsi="Palatino Linotype" w:cs="Palatino Linotype"/>
                <w:sz w:val="18"/>
                <w:szCs w:val="18"/>
              </w:rPr>
            </w:pPr>
          </w:p>
        </w:tc>
      </w:tr>
      <w:tr w:rsidR="008D6A97">
        <w:trPr>
          <w:jc w:val="center"/>
        </w:trPr>
        <w:tc>
          <w:tcPr>
            <w:tcW w:w="3539" w:type="dxa"/>
            <w:tcBorders>
              <w:top w:val="single" w:sz="4" w:space="0" w:color="000000"/>
              <w:left w:val="single" w:sz="4" w:space="0" w:color="000000"/>
              <w:bottom w:val="single" w:sz="4" w:space="0" w:color="000000"/>
              <w:right w:val="single" w:sz="4" w:space="0" w:color="000000"/>
            </w:tcBorders>
          </w:tcPr>
          <w:p w:rsidR="008D6A97" w:rsidRDefault="0029088D">
            <w:pPr>
              <w:numPr>
                <w:ilvl w:val="0"/>
                <w:numId w:val="10"/>
              </w:numPr>
              <w:tabs>
                <w:tab w:val="left" w:pos="264"/>
              </w:tabs>
              <w:ind w:left="0" w:firstLine="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Закупуване на съдове за събиране на битови отпадъци;</w:t>
            </w:r>
          </w:p>
        </w:tc>
        <w:tc>
          <w:tcPr>
            <w:tcW w:w="1134" w:type="dxa"/>
            <w:tcBorders>
              <w:top w:val="single" w:sz="4" w:space="0" w:color="000000"/>
              <w:left w:val="single" w:sz="4" w:space="0" w:color="000000"/>
              <w:bottom w:val="single" w:sz="4" w:space="0" w:color="000000"/>
              <w:right w:val="single" w:sz="4" w:space="0" w:color="000000"/>
            </w:tcBorders>
          </w:tcPr>
          <w:p w:rsidR="008D6A97" w:rsidRDefault="0029088D">
            <w:pPr>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0</w:t>
            </w:r>
          </w:p>
        </w:tc>
        <w:tc>
          <w:tcPr>
            <w:tcW w:w="1317" w:type="dxa"/>
            <w:tcBorders>
              <w:top w:val="single" w:sz="4" w:space="0" w:color="000000"/>
              <w:left w:val="single" w:sz="4" w:space="0" w:color="000000"/>
              <w:bottom w:val="single" w:sz="4" w:space="0" w:color="000000"/>
              <w:right w:val="single" w:sz="4" w:space="0" w:color="000000"/>
            </w:tcBorders>
          </w:tcPr>
          <w:p w:rsidR="008D6A97" w:rsidRDefault="0029088D">
            <w:pPr>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0</w:t>
            </w:r>
          </w:p>
        </w:tc>
        <w:tc>
          <w:tcPr>
            <w:tcW w:w="1134" w:type="dxa"/>
            <w:tcBorders>
              <w:top w:val="single" w:sz="4" w:space="0" w:color="000000"/>
              <w:left w:val="single" w:sz="4" w:space="0" w:color="000000"/>
              <w:bottom w:val="single" w:sz="4" w:space="0" w:color="000000"/>
              <w:right w:val="single" w:sz="4" w:space="0" w:color="000000"/>
            </w:tcBorders>
          </w:tcPr>
          <w:p w:rsidR="008D6A97" w:rsidRDefault="0029088D">
            <w:pPr>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0</w:t>
            </w:r>
          </w:p>
        </w:tc>
        <w:tc>
          <w:tcPr>
            <w:tcW w:w="1134" w:type="dxa"/>
            <w:tcBorders>
              <w:top w:val="single" w:sz="4" w:space="0" w:color="000000"/>
              <w:left w:val="single" w:sz="4" w:space="0" w:color="000000"/>
              <w:bottom w:val="single" w:sz="4" w:space="0" w:color="000000"/>
              <w:right w:val="single" w:sz="4" w:space="0" w:color="000000"/>
            </w:tcBorders>
          </w:tcPr>
          <w:p w:rsidR="008D6A97" w:rsidRDefault="0029088D">
            <w:pPr>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0</w:t>
            </w:r>
          </w:p>
        </w:tc>
        <w:tc>
          <w:tcPr>
            <w:tcW w:w="1134" w:type="dxa"/>
            <w:tcBorders>
              <w:top w:val="single" w:sz="4" w:space="0" w:color="000000"/>
              <w:left w:val="single" w:sz="4" w:space="0" w:color="000000"/>
              <w:bottom w:val="single" w:sz="4" w:space="0" w:color="000000"/>
              <w:right w:val="single" w:sz="4" w:space="0" w:color="000000"/>
            </w:tcBorders>
          </w:tcPr>
          <w:p w:rsidR="008D6A97" w:rsidRDefault="0029088D">
            <w:pPr>
              <w:jc w:val="right"/>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0</w:t>
            </w:r>
          </w:p>
        </w:tc>
      </w:tr>
      <w:tr w:rsidR="008D6A97">
        <w:trPr>
          <w:trHeight w:val="650"/>
          <w:jc w:val="center"/>
        </w:trPr>
        <w:tc>
          <w:tcPr>
            <w:tcW w:w="3539" w:type="dxa"/>
            <w:tcBorders>
              <w:top w:val="single" w:sz="4" w:space="0" w:color="000000"/>
              <w:left w:val="single" w:sz="4" w:space="0" w:color="000000"/>
              <w:bottom w:val="single" w:sz="4" w:space="0" w:color="000000"/>
              <w:right w:val="single" w:sz="4" w:space="0" w:color="000000"/>
            </w:tcBorders>
            <w:vAlign w:val="bottom"/>
          </w:tcPr>
          <w:p w:rsidR="008D6A97" w:rsidRDefault="0029088D">
            <w:pPr>
              <w:numPr>
                <w:ilvl w:val="0"/>
                <w:numId w:val="10"/>
              </w:numPr>
              <w:tabs>
                <w:tab w:val="left" w:pos="288"/>
              </w:tabs>
              <w:ind w:left="0" w:firstLine="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Събиране и транспортиране на битови отпадъци  до депа и други съоръжения за третиране</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60 500 000</w:t>
            </w:r>
          </w:p>
        </w:tc>
        <w:tc>
          <w:tcPr>
            <w:tcW w:w="1317"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60 000 000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61 500 000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63 000 000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67 000 000</w:t>
            </w:r>
          </w:p>
        </w:tc>
      </w:tr>
      <w:tr w:rsidR="008D6A97">
        <w:trPr>
          <w:trHeight w:val="629"/>
          <w:jc w:val="center"/>
        </w:trPr>
        <w:tc>
          <w:tcPr>
            <w:tcW w:w="3539" w:type="dxa"/>
            <w:tcBorders>
              <w:top w:val="single" w:sz="4" w:space="0" w:color="000000"/>
              <w:left w:val="single" w:sz="4" w:space="0" w:color="000000"/>
              <w:bottom w:val="single" w:sz="4" w:space="0" w:color="000000"/>
              <w:right w:val="single" w:sz="4" w:space="0" w:color="000000"/>
            </w:tcBorders>
          </w:tcPr>
          <w:p w:rsidR="008D6A97" w:rsidRDefault="0029088D">
            <w:pPr>
              <w:numPr>
                <w:ilvl w:val="0"/>
                <w:numId w:val="10"/>
              </w:numPr>
              <w:tabs>
                <w:tab w:val="left" w:pos="300"/>
              </w:tabs>
              <w:ind w:left="0" w:firstLine="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включително</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45 818 700</w:t>
            </w:r>
          </w:p>
        </w:tc>
        <w:tc>
          <w:tcPr>
            <w:tcW w:w="1317" w:type="dxa"/>
          </w:tcPr>
          <w:p w:rsidR="008D6A97" w:rsidRDefault="008D6A97">
            <w:pPr>
              <w:spacing w:after="120"/>
              <w:rPr>
                <w:rFonts w:ascii="Palatino Linotype" w:eastAsia="Palatino Linotype" w:hAnsi="Palatino Linotype" w:cs="Palatino Linotype"/>
                <w:sz w:val="18"/>
                <w:szCs w:val="18"/>
              </w:rPr>
            </w:pPr>
          </w:p>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39 816 700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43 966 988</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55 529 776</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60 159 444</w:t>
            </w:r>
          </w:p>
        </w:tc>
      </w:tr>
      <w:tr w:rsidR="008D6A97">
        <w:trPr>
          <w:trHeight w:val="350"/>
          <w:jc w:val="center"/>
        </w:trPr>
        <w:tc>
          <w:tcPr>
            <w:tcW w:w="3539" w:type="dxa"/>
            <w:tcBorders>
              <w:top w:val="single" w:sz="4" w:space="0" w:color="000000"/>
              <w:left w:val="single" w:sz="4" w:space="0" w:color="000000"/>
              <w:bottom w:val="single" w:sz="4" w:space="0" w:color="000000"/>
              <w:right w:val="single" w:sz="4" w:space="0" w:color="000000"/>
            </w:tcBorders>
          </w:tcPr>
          <w:p w:rsidR="008D6A97" w:rsidRDefault="0029088D">
            <w:pPr>
              <w:tabs>
                <w:tab w:val="left" w:pos="300"/>
              </w:tabs>
              <w:ind w:left="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 Отчисления по чл. 60 от ЗУО</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347 050</w:t>
            </w:r>
          </w:p>
        </w:tc>
        <w:tc>
          <w:tcPr>
            <w:tcW w:w="1317"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347 050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347 050</w:t>
            </w:r>
          </w:p>
          <w:p w:rsidR="008D6A97" w:rsidRDefault="008D6A97">
            <w:pPr>
              <w:spacing w:after="120"/>
              <w:rPr>
                <w:rFonts w:ascii="Palatino Linotype" w:eastAsia="Palatino Linotype" w:hAnsi="Palatino Linotype" w:cs="Palatino Linotype"/>
                <w:sz w:val="18"/>
                <w:szCs w:val="18"/>
              </w:rPr>
            </w:pP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347 050</w:t>
            </w:r>
          </w:p>
          <w:p w:rsidR="008D6A97" w:rsidRDefault="008D6A97">
            <w:pPr>
              <w:spacing w:after="120"/>
              <w:rPr>
                <w:rFonts w:ascii="Palatino Linotype" w:eastAsia="Palatino Linotype" w:hAnsi="Palatino Linotype" w:cs="Palatino Linotype"/>
                <w:sz w:val="18"/>
                <w:szCs w:val="18"/>
              </w:rPr>
            </w:pPr>
          </w:p>
        </w:tc>
        <w:tc>
          <w:tcPr>
            <w:tcW w:w="1134" w:type="dxa"/>
          </w:tcPr>
          <w:p w:rsidR="008D6A97" w:rsidRDefault="0029088D">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347 050</w:t>
            </w:r>
          </w:p>
          <w:p w:rsidR="008D6A97" w:rsidRDefault="008D6A97">
            <w:pPr>
              <w:rPr>
                <w:rFonts w:ascii="Palatino Linotype" w:eastAsia="Palatino Linotype" w:hAnsi="Palatino Linotype" w:cs="Palatino Linotype"/>
                <w:sz w:val="18"/>
                <w:szCs w:val="18"/>
              </w:rPr>
            </w:pPr>
          </w:p>
        </w:tc>
      </w:tr>
      <w:tr w:rsidR="008D6A97">
        <w:trPr>
          <w:jc w:val="center"/>
        </w:trPr>
        <w:tc>
          <w:tcPr>
            <w:tcW w:w="3539" w:type="dxa"/>
            <w:tcBorders>
              <w:top w:val="single" w:sz="4" w:space="0" w:color="000000"/>
              <w:left w:val="single" w:sz="4" w:space="0" w:color="000000"/>
              <w:bottom w:val="single" w:sz="4" w:space="0" w:color="000000"/>
              <w:right w:val="single" w:sz="4" w:space="0" w:color="000000"/>
            </w:tcBorders>
            <w:vAlign w:val="bottom"/>
          </w:tcPr>
          <w:p w:rsidR="008D6A97" w:rsidRDefault="0029088D">
            <w:pPr>
              <w:tabs>
                <w:tab w:val="left" w:pos="300"/>
              </w:tabs>
              <w:ind w:left="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 Отчисления по чл. 64 от ЗУО</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3 060 000</w:t>
            </w:r>
          </w:p>
        </w:tc>
        <w:tc>
          <w:tcPr>
            <w:tcW w:w="1317"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3 400 000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3 825 000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4 845 000</w:t>
            </w:r>
          </w:p>
        </w:tc>
        <w:tc>
          <w:tcPr>
            <w:tcW w:w="1134" w:type="dxa"/>
          </w:tcPr>
          <w:p w:rsidR="008D6A97" w:rsidRDefault="0029088D">
            <w:pPr>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8 075 000</w:t>
            </w:r>
          </w:p>
        </w:tc>
      </w:tr>
      <w:tr w:rsidR="008D6A97">
        <w:trPr>
          <w:jc w:val="center"/>
        </w:trPr>
        <w:tc>
          <w:tcPr>
            <w:tcW w:w="3539" w:type="dxa"/>
            <w:tcBorders>
              <w:top w:val="single" w:sz="4" w:space="0" w:color="000000"/>
              <w:left w:val="single" w:sz="4" w:space="0" w:color="000000"/>
              <w:bottom w:val="single" w:sz="4" w:space="0" w:color="000000"/>
              <w:right w:val="single" w:sz="4" w:space="0" w:color="000000"/>
            </w:tcBorders>
            <w:vAlign w:val="bottom"/>
          </w:tcPr>
          <w:p w:rsidR="008D6A97" w:rsidRDefault="0029088D">
            <w:pPr>
              <w:numPr>
                <w:ilvl w:val="0"/>
                <w:numId w:val="10"/>
              </w:numPr>
              <w:tabs>
                <w:tab w:val="left" w:pos="300"/>
              </w:tabs>
              <w:ind w:left="0" w:firstLine="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Поддържане чистотата на териториите за обществено ползване.</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61 080 000</w:t>
            </w:r>
          </w:p>
        </w:tc>
        <w:tc>
          <w:tcPr>
            <w:tcW w:w="1317"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66 100 000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70 900 000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78 500 000</w:t>
            </w:r>
          </w:p>
        </w:tc>
        <w:tc>
          <w:tcPr>
            <w:tcW w:w="1134" w:type="dxa"/>
          </w:tcPr>
          <w:p w:rsidR="008D6A97" w:rsidRDefault="008D6A97">
            <w:pPr>
              <w:spacing w:after="120"/>
              <w:rPr>
                <w:rFonts w:ascii="Palatino Linotype" w:eastAsia="Palatino Linotype" w:hAnsi="Palatino Linotype" w:cs="Palatino Linotype"/>
                <w:sz w:val="18"/>
                <w:szCs w:val="18"/>
              </w:rPr>
            </w:pPr>
          </w:p>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85 200 000</w:t>
            </w:r>
          </w:p>
        </w:tc>
      </w:tr>
      <w:tr w:rsidR="008D6A97">
        <w:trPr>
          <w:jc w:val="center"/>
        </w:trPr>
        <w:tc>
          <w:tcPr>
            <w:tcW w:w="3539" w:type="dxa"/>
            <w:tcBorders>
              <w:top w:val="single" w:sz="4" w:space="0" w:color="000000"/>
              <w:left w:val="single" w:sz="4" w:space="0" w:color="000000"/>
              <w:bottom w:val="single" w:sz="4" w:space="0" w:color="000000"/>
              <w:right w:val="single" w:sz="4" w:space="0" w:color="000000"/>
            </w:tcBorders>
            <w:vAlign w:val="bottom"/>
          </w:tcPr>
          <w:p w:rsidR="008D6A97" w:rsidRDefault="0029088D">
            <w:pPr>
              <w:numPr>
                <w:ilvl w:val="0"/>
                <w:numId w:val="10"/>
              </w:numPr>
              <w:tabs>
                <w:tab w:val="left" w:pos="300"/>
              </w:tabs>
              <w:ind w:left="0" w:firstLine="29"/>
              <w:jc w:val="both"/>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Други – издръжка на Столичен инспекторат</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6 178 598</w:t>
            </w:r>
          </w:p>
        </w:tc>
        <w:tc>
          <w:tcPr>
            <w:tcW w:w="1317"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6 890 000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7 441 900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8 956 000</w:t>
            </w:r>
          </w:p>
        </w:tc>
        <w:tc>
          <w:tcPr>
            <w:tcW w:w="1134"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4 807 200</w:t>
            </w:r>
          </w:p>
        </w:tc>
      </w:tr>
    </w:tbl>
    <w:p w:rsidR="008D6A97" w:rsidRDefault="0029088D">
      <w:pPr>
        <w:ind w:left="5670"/>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Източник: Столична община </w:t>
      </w:r>
    </w:p>
    <w:p w:rsidR="008D6A97" w:rsidRDefault="0029088D">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При сравнителен анализ между приходите от такса битови отпадъци и общо разходите за управление на отпадъците, може да се направи извода, че приходите покриват разходите за управление на отпадъците в Столична община. </w:t>
      </w:r>
    </w:p>
    <w:p w:rsidR="008D6A97" w:rsidRDefault="008D6A97">
      <w:pPr>
        <w:spacing w:after="0" w:line="276" w:lineRule="auto"/>
        <w:jc w:val="both"/>
        <w:rPr>
          <w:rFonts w:ascii="Palatino Linotype" w:eastAsia="Palatino Linotype" w:hAnsi="Palatino Linotype" w:cs="Palatino Linotype"/>
        </w:rPr>
      </w:pPr>
    </w:p>
    <w:p w:rsidR="008D6A97" w:rsidRDefault="003A72B3" w:rsidP="003A72B3">
      <w:pPr>
        <w:spacing w:after="0" w:line="276" w:lineRule="auto"/>
        <w:jc w:val="center"/>
        <w:rPr>
          <w:rFonts w:ascii="Palatino Linotype" w:eastAsia="Palatino Linotype" w:hAnsi="Palatino Linotype" w:cs="Palatino Linotype"/>
        </w:rPr>
      </w:pPr>
      <w:r>
        <w:rPr>
          <w:rFonts w:ascii="Palatino Linotype" w:eastAsia="Palatino Linotype" w:hAnsi="Palatino Linotype" w:cs="Palatino Linotype"/>
          <w:noProof/>
          <w:lang w:val="en-US" w:eastAsia="en-US"/>
        </w:rPr>
        <w:lastRenderedPageBreak/>
        <w:drawing>
          <wp:inline distT="0" distB="0" distL="0" distR="0" wp14:anchorId="157C9B0D">
            <wp:extent cx="6225540" cy="4531639"/>
            <wp:effectExtent l="0" t="0" r="381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879" cy="4534797"/>
                    </a:xfrm>
                    <a:prstGeom prst="rect">
                      <a:avLst/>
                    </a:prstGeom>
                    <a:noFill/>
                  </pic:spPr>
                </pic:pic>
              </a:graphicData>
            </a:graphic>
          </wp:inline>
        </w:drawing>
      </w:r>
    </w:p>
    <w:p w:rsidR="008D6A97" w:rsidRDefault="008D6A97">
      <w:pPr>
        <w:spacing w:after="0" w:line="276" w:lineRule="auto"/>
        <w:jc w:val="both"/>
        <w:rPr>
          <w:rFonts w:ascii="Palatino Linotype" w:eastAsia="Palatino Linotype" w:hAnsi="Palatino Linotype" w:cs="Palatino Linotype"/>
        </w:rPr>
      </w:pP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i/>
          <w:color w:val="44546A"/>
          <w:sz w:val="20"/>
          <w:szCs w:val="20"/>
        </w:rPr>
      </w:pPr>
      <w:r>
        <w:rPr>
          <w:rFonts w:ascii="Palatino Linotype" w:eastAsia="Palatino Linotype" w:hAnsi="Palatino Linotype" w:cs="Palatino Linotype"/>
          <w:i/>
          <w:color w:val="44546A"/>
          <w:sz w:val="20"/>
          <w:szCs w:val="20"/>
        </w:rPr>
        <w:t>Фигура 4 Структура на разходите за управление на отпадъците на Столична община за 2020 г.</w:t>
      </w:r>
    </w:p>
    <w:p w:rsidR="008D6A97" w:rsidRDefault="0029088D">
      <w:pPr>
        <w:spacing w:line="276" w:lineRule="auto"/>
        <w:rPr>
          <w:rFonts w:ascii="Palatino Linotype" w:eastAsia="Palatino Linotype" w:hAnsi="Palatino Linotype" w:cs="Palatino Linotype"/>
        </w:rPr>
      </w:pPr>
      <w:r>
        <w:rPr>
          <w:rFonts w:ascii="Palatino Linotype" w:eastAsia="Palatino Linotype" w:hAnsi="Palatino Linotype" w:cs="Palatino Linotype"/>
        </w:rPr>
        <w:t>В структурата на разходите за управление на отпадъците с  най-голям относителен дял са разходите за поддържане на чистотата на териториите за обществено ползване – 39,23 %, следвани от разходите за събиране и транспортиране на битови отпадъци до депа и други съоръжения за третиране.</w:t>
      </w:r>
    </w:p>
    <w:p w:rsidR="008D6A97" w:rsidRDefault="0029088D">
      <w:pPr>
        <w:numPr>
          <w:ilvl w:val="0"/>
          <w:numId w:val="4"/>
        </w:numPr>
        <w:pBdr>
          <w:top w:val="nil"/>
          <w:left w:val="nil"/>
          <w:bottom w:val="nil"/>
          <w:right w:val="nil"/>
          <w:between w:val="nil"/>
        </w:pBdr>
        <w:tabs>
          <w:tab w:val="left" w:pos="426"/>
        </w:tabs>
        <w:spacing w:line="276" w:lineRule="auto"/>
        <w:ind w:left="0" w:firstLine="0"/>
        <w:rPr>
          <w:rFonts w:ascii="Palatino Linotype" w:eastAsia="Palatino Linotype" w:hAnsi="Palatino Linotype" w:cs="Palatino Linotype"/>
          <w:color w:val="000000"/>
        </w:rPr>
      </w:pPr>
      <w:r>
        <w:rPr>
          <w:rFonts w:ascii="Palatino Linotype" w:eastAsia="Palatino Linotype" w:hAnsi="Palatino Linotype" w:cs="Palatino Linotype"/>
          <w:color w:val="000000"/>
        </w:rPr>
        <w:t>Източници на финансиране на разходите по управление на отпадъците по години на анализирания период</w:t>
      </w:r>
    </w:p>
    <w:p w:rsidR="008D6A97" w:rsidRDefault="0029088D">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НПУО 2021-2028 г. структурата на източниците на финансиране на оперативните разходи и на инвестиционните разходи в управлението на отпадъците в периода 2009-2013 г. съдържа:</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Собствени средства</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Средства от Републиканския бюджет</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Средства на общините</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Целеви средства за ОС, получени от държавата (субсидии)</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lastRenderedPageBreak/>
        <w:t>•</w:t>
      </w:r>
      <w:r>
        <w:rPr>
          <w:rFonts w:ascii="Palatino Linotype" w:eastAsia="Palatino Linotype" w:hAnsi="Palatino Linotype" w:cs="Palatino Linotype"/>
        </w:rPr>
        <w:tab/>
        <w:t>Национални фонд</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Оперативна програма "Околна среда"</w:t>
      </w:r>
    </w:p>
    <w:p w:rsidR="008D6A97" w:rsidRDefault="0029088D">
      <w:pPr>
        <w:spacing w:after="0" w:line="276" w:lineRule="auto"/>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Заемни средства от източници в страната.</w:t>
      </w:r>
    </w:p>
    <w:p w:rsidR="008D6A97" w:rsidRDefault="0029088D">
      <w:pPr>
        <w:spacing w:after="9"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Оперативните разходи в управлението на отпадъците се поделят между организациите по оползотворяване на отпадъците и общините (за управлението на битовите отпадъци).</w:t>
      </w:r>
    </w:p>
    <w:p w:rsidR="008D6A97" w:rsidRDefault="0029088D">
      <w:pPr>
        <w:spacing w:after="9"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Средствата на общините включват средства от такса за битови отпадъци и собствени приходи (местни данъци, постъпления от наеми, продажба на имущество и т.н.), които след покриване на оперативните разходи по предоставянето на различни услуги, в случай на икономии насочват за инвестиционни цели.</w:t>
      </w:r>
    </w:p>
    <w:p w:rsidR="008D6A97" w:rsidRDefault="008D6A97">
      <w:pPr>
        <w:spacing w:after="9" w:line="276" w:lineRule="auto"/>
        <w:jc w:val="both"/>
        <w:rPr>
          <w:rFonts w:ascii="Palatino Linotype" w:eastAsia="Palatino Linotype" w:hAnsi="Palatino Linotype" w:cs="Palatino Linotype"/>
          <w:color w:val="000000"/>
        </w:rPr>
      </w:pP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color w:val="44546A"/>
          <w:sz w:val="20"/>
          <w:szCs w:val="20"/>
        </w:rPr>
      </w:pPr>
      <w:r>
        <w:rPr>
          <w:i/>
          <w:color w:val="44546A"/>
          <w:sz w:val="18"/>
          <w:szCs w:val="18"/>
        </w:rPr>
        <w:t xml:space="preserve">Таблица 3 </w:t>
      </w:r>
      <w:r>
        <w:rPr>
          <w:rFonts w:ascii="Palatino Linotype" w:eastAsia="Palatino Linotype" w:hAnsi="Palatino Linotype" w:cs="Palatino Linotype"/>
          <w:i/>
          <w:color w:val="44546A"/>
          <w:sz w:val="20"/>
          <w:szCs w:val="20"/>
        </w:rPr>
        <w:t>Финансиране на разходите по управление на отпадъците по години за анализирания период</w:t>
      </w:r>
    </w:p>
    <w:tbl>
      <w:tblPr>
        <w:tblStyle w:val="a7"/>
        <w:tblW w:w="89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1250"/>
        <w:gridCol w:w="1250"/>
        <w:gridCol w:w="1250"/>
        <w:gridCol w:w="1250"/>
        <w:gridCol w:w="1251"/>
      </w:tblGrid>
      <w:tr w:rsidR="008D6A97">
        <w:trPr>
          <w:trHeight w:val="314"/>
        </w:trPr>
        <w:tc>
          <w:tcPr>
            <w:tcW w:w="2694" w:type="dxa"/>
            <w:tcBorders>
              <w:top w:val="single" w:sz="4" w:space="0" w:color="000000"/>
              <w:left w:val="single" w:sz="4" w:space="0" w:color="000000"/>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Година</w:t>
            </w:r>
          </w:p>
        </w:tc>
        <w:tc>
          <w:tcPr>
            <w:tcW w:w="1250" w:type="dxa"/>
            <w:tcBorders>
              <w:top w:val="single" w:sz="4" w:space="0" w:color="000000"/>
              <w:left w:val="nil"/>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2016</w:t>
            </w:r>
          </w:p>
        </w:tc>
        <w:tc>
          <w:tcPr>
            <w:tcW w:w="1250" w:type="dxa"/>
            <w:tcBorders>
              <w:top w:val="single" w:sz="4" w:space="0" w:color="000000"/>
              <w:left w:val="nil"/>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2017</w:t>
            </w:r>
          </w:p>
        </w:tc>
        <w:tc>
          <w:tcPr>
            <w:tcW w:w="1250" w:type="dxa"/>
            <w:tcBorders>
              <w:top w:val="single" w:sz="4" w:space="0" w:color="000000"/>
              <w:left w:val="nil"/>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2018</w:t>
            </w:r>
          </w:p>
        </w:tc>
        <w:tc>
          <w:tcPr>
            <w:tcW w:w="1250" w:type="dxa"/>
            <w:tcBorders>
              <w:top w:val="single" w:sz="4" w:space="0" w:color="000000"/>
              <w:left w:val="nil"/>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2019</w:t>
            </w:r>
          </w:p>
        </w:tc>
        <w:tc>
          <w:tcPr>
            <w:tcW w:w="1251" w:type="dxa"/>
            <w:tcBorders>
              <w:top w:val="single" w:sz="4" w:space="0" w:color="000000"/>
              <w:left w:val="nil"/>
              <w:bottom w:val="single" w:sz="4" w:space="0" w:color="000000"/>
              <w:right w:val="single" w:sz="4" w:space="0" w:color="000000"/>
            </w:tcBorders>
            <w:shd w:val="clear" w:color="auto" w:fill="8497B0"/>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2020</w:t>
            </w:r>
          </w:p>
        </w:tc>
      </w:tr>
      <w:tr w:rsidR="008D6A97">
        <w:trPr>
          <w:trHeight w:val="329"/>
        </w:trPr>
        <w:tc>
          <w:tcPr>
            <w:tcW w:w="8945"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8D6A97" w:rsidRDefault="008D6A97">
            <w:pPr>
              <w:jc w:val="both"/>
              <w:rPr>
                <w:rFonts w:ascii="Palatino Linotype" w:eastAsia="Palatino Linotype" w:hAnsi="Palatino Linotype" w:cs="Palatino Linotype"/>
                <w:b/>
                <w:color w:val="000000"/>
                <w:sz w:val="18"/>
                <w:szCs w:val="18"/>
              </w:rPr>
            </w:pPr>
          </w:p>
        </w:tc>
      </w:tr>
      <w:tr w:rsidR="008D6A97">
        <w:trPr>
          <w:trHeight w:val="314"/>
        </w:trPr>
        <w:tc>
          <w:tcPr>
            <w:tcW w:w="2694"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Приходи от такса битови отпадъци</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206 005 175</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196 893 396</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221 803 528</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239 991 617</w:t>
            </w:r>
          </w:p>
        </w:tc>
        <w:tc>
          <w:tcPr>
            <w:tcW w:w="1251"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227 243 793</w:t>
            </w:r>
          </w:p>
        </w:tc>
      </w:tr>
      <w:tr w:rsidR="008D6A97">
        <w:trPr>
          <w:trHeight w:val="314"/>
        </w:trPr>
        <w:tc>
          <w:tcPr>
            <w:tcW w:w="2694"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xml:space="preserve">Разходи за управление на отпадъците </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173 577 295</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172 806 770</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183 808 888</w:t>
            </w:r>
          </w:p>
        </w:tc>
        <w:tc>
          <w:tcPr>
            <w:tcW w:w="1250"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205 985 776</w:t>
            </w:r>
          </w:p>
        </w:tc>
        <w:tc>
          <w:tcPr>
            <w:tcW w:w="1251" w:type="dxa"/>
            <w:tcBorders>
              <w:top w:val="nil"/>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217 166 644</w:t>
            </w:r>
          </w:p>
        </w:tc>
      </w:tr>
      <w:tr w:rsidR="008D6A97">
        <w:trPr>
          <w:trHeight w:val="314"/>
        </w:trPr>
        <w:tc>
          <w:tcPr>
            <w:tcW w:w="2694"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jc w:val="both"/>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 от разходите финансирани от ТБО</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118,68%</w:t>
            </w:r>
          </w:p>
        </w:tc>
        <w:tc>
          <w:tcPr>
            <w:tcW w:w="125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113,94%</w:t>
            </w:r>
          </w:p>
        </w:tc>
        <w:tc>
          <w:tcPr>
            <w:tcW w:w="125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120,67%</w:t>
            </w:r>
          </w:p>
        </w:tc>
        <w:tc>
          <w:tcPr>
            <w:tcW w:w="125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116,51%</w:t>
            </w:r>
          </w:p>
        </w:tc>
        <w:tc>
          <w:tcPr>
            <w:tcW w:w="1251"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104,64%</w:t>
            </w:r>
          </w:p>
        </w:tc>
      </w:tr>
    </w:tbl>
    <w:p w:rsidR="008D6A97" w:rsidRDefault="0029088D">
      <w:pP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                                                                                    Източник: Столична община, собствени изчисления</w:t>
      </w:r>
    </w:p>
    <w:p w:rsidR="008D6A97" w:rsidRDefault="008D6A97"/>
    <w:p w:rsidR="008D6A97" w:rsidRDefault="0029088D">
      <w:pPr>
        <w:jc w:val="both"/>
        <w:rPr>
          <w:rFonts w:ascii="Palatino Linotype" w:eastAsia="Palatino Linotype" w:hAnsi="Palatino Linotype" w:cs="Palatino Linotype"/>
        </w:rPr>
      </w:pPr>
      <w:r>
        <w:t xml:space="preserve">     </w:t>
      </w:r>
      <w:r>
        <w:rPr>
          <w:rFonts w:ascii="Palatino Linotype" w:eastAsia="Palatino Linotype" w:hAnsi="Palatino Linotype" w:cs="Palatino Linotype"/>
        </w:rPr>
        <w:t xml:space="preserve">Видно от данните в таблица 3 разходите по управление на отпадъците изцяло се финансират от приходите от такса битови отпадъци. Независимо от това, следва да се има в предвид, че реално всяка година в приходите от такса битови отпадъци се включват и </w:t>
      </w:r>
      <w:sdt>
        <w:sdtPr>
          <w:tag w:val="goog_rdk_0"/>
          <w:id w:val="49584630"/>
        </w:sdtPr>
        <w:sdtEndPr/>
        <w:sdtContent/>
      </w:sdt>
      <w:r>
        <w:rPr>
          <w:rFonts w:ascii="Palatino Linotype" w:eastAsia="Palatino Linotype" w:hAnsi="Palatino Linotype" w:cs="Palatino Linotype"/>
        </w:rPr>
        <w:t xml:space="preserve">изплатени просрочени задължения за минали години. При изготвяне на план-сметката тяхната стойност не може да бъде предвидена с точност. </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 xml:space="preserve">Съгласно данни на Столична община източниците и форми на финансиране на управлението на битовите отпадъци за периода 2016 – 2020 г . представяме в следващата таблица: </w:t>
      </w: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color w:val="44546A"/>
          <w:sz w:val="18"/>
          <w:szCs w:val="18"/>
        </w:rPr>
      </w:pPr>
      <w:r>
        <w:rPr>
          <w:i/>
          <w:color w:val="44546A"/>
          <w:sz w:val="18"/>
          <w:szCs w:val="18"/>
        </w:rPr>
        <w:t xml:space="preserve">Таблица 4 Източници и форми на финансиране на управлението на битовите отпадъци в Столична община </w:t>
      </w:r>
    </w:p>
    <w:tbl>
      <w:tblPr>
        <w:tblStyle w:val="a8"/>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1"/>
        <w:gridCol w:w="981"/>
        <w:gridCol w:w="1118"/>
        <w:gridCol w:w="1118"/>
        <w:gridCol w:w="892"/>
        <w:gridCol w:w="892"/>
      </w:tblGrid>
      <w:tr w:rsidR="008D6A97">
        <w:trPr>
          <w:tblHeader/>
          <w:jc w:val="center"/>
        </w:trPr>
        <w:tc>
          <w:tcPr>
            <w:tcW w:w="4061" w:type="dxa"/>
          </w:tcPr>
          <w:p w:rsidR="008D6A97" w:rsidRDefault="0029088D">
            <w:pPr>
              <w:spacing w:after="120"/>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Година</w:t>
            </w:r>
          </w:p>
        </w:tc>
        <w:tc>
          <w:tcPr>
            <w:tcW w:w="981" w:type="dxa"/>
            <w:vAlign w:val="center"/>
          </w:tcPr>
          <w:p w:rsidR="008D6A97" w:rsidRDefault="0029088D">
            <w:pPr>
              <w:spacing w:after="120"/>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2016</w:t>
            </w:r>
          </w:p>
        </w:tc>
        <w:tc>
          <w:tcPr>
            <w:tcW w:w="1118" w:type="dxa"/>
            <w:vAlign w:val="center"/>
          </w:tcPr>
          <w:p w:rsidR="008D6A97" w:rsidRDefault="0029088D">
            <w:pPr>
              <w:spacing w:after="120"/>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2017</w:t>
            </w:r>
          </w:p>
        </w:tc>
        <w:tc>
          <w:tcPr>
            <w:tcW w:w="1118" w:type="dxa"/>
            <w:vAlign w:val="center"/>
          </w:tcPr>
          <w:p w:rsidR="008D6A97" w:rsidRDefault="0029088D">
            <w:pPr>
              <w:spacing w:after="120"/>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2018</w:t>
            </w:r>
          </w:p>
        </w:tc>
        <w:tc>
          <w:tcPr>
            <w:tcW w:w="892" w:type="dxa"/>
            <w:vAlign w:val="center"/>
          </w:tcPr>
          <w:p w:rsidR="008D6A97" w:rsidRDefault="0029088D">
            <w:pPr>
              <w:spacing w:after="120"/>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2019</w:t>
            </w:r>
          </w:p>
        </w:tc>
        <w:tc>
          <w:tcPr>
            <w:tcW w:w="892" w:type="dxa"/>
          </w:tcPr>
          <w:p w:rsidR="008D6A97" w:rsidRDefault="0029088D">
            <w:pPr>
              <w:spacing w:after="120"/>
              <w:jc w:val="center"/>
              <w:rPr>
                <w:rFonts w:ascii="Palatino Linotype" w:eastAsia="Palatino Linotype" w:hAnsi="Palatino Linotype" w:cs="Palatino Linotype"/>
                <w:b/>
                <w:color w:val="000000"/>
                <w:sz w:val="20"/>
                <w:szCs w:val="20"/>
              </w:rPr>
            </w:pPr>
            <w:r>
              <w:rPr>
                <w:rFonts w:ascii="Palatino Linotype" w:eastAsia="Palatino Linotype" w:hAnsi="Palatino Linotype" w:cs="Palatino Linotype"/>
                <w:b/>
                <w:color w:val="000000"/>
                <w:sz w:val="20"/>
                <w:szCs w:val="20"/>
              </w:rPr>
              <w:t>2020</w:t>
            </w:r>
          </w:p>
        </w:tc>
      </w:tr>
      <w:tr w:rsidR="008D6A97">
        <w:trPr>
          <w:jc w:val="center"/>
        </w:trPr>
        <w:tc>
          <w:tcPr>
            <w:tcW w:w="4061" w:type="dxa"/>
          </w:tcPr>
          <w:p w:rsidR="008D6A97" w:rsidRDefault="0029088D">
            <w:pPr>
              <w:numPr>
                <w:ilvl w:val="0"/>
                <w:numId w:val="2"/>
              </w:numPr>
              <w:tabs>
                <w:tab w:val="left" w:pos="171"/>
              </w:tabs>
              <w:spacing w:after="120"/>
              <w:ind w:left="0" w:firstLine="0"/>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Приходи от ТБО</w:t>
            </w:r>
          </w:p>
        </w:tc>
        <w:tc>
          <w:tcPr>
            <w:tcW w:w="981" w:type="dxa"/>
          </w:tcPr>
          <w:p w:rsidR="008D6A97" w:rsidRDefault="00E64BAC">
            <w:pPr>
              <w:spacing w:after="120"/>
              <w:rPr>
                <w:rFonts w:ascii="Palatino Linotype" w:eastAsia="Palatino Linotype" w:hAnsi="Palatino Linotype" w:cs="Palatino Linotype"/>
                <w:sz w:val="20"/>
                <w:szCs w:val="20"/>
              </w:rPr>
            </w:pPr>
            <w:sdt>
              <w:sdtPr>
                <w:tag w:val="goog_rdk_1"/>
                <w:id w:val="-1552992810"/>
              </w:sdtPr>
              <w:sdtEndPr/>
              <w:sdtContent>
                <w:r w:rsidR="0029088D">
                  <w:rPr>
                    <w:rFonts w:ascii="Arial Unicode MS" w:eastAsia="Arial Unicode MS" w:hAnsi="Arial Unicode MS" w:cs="Arial Unicode MS"/>
                    <w:sz w:val="20"/>
                    <w:szCs w:val="20"/>
                  </w:rPr>
                  <w:t>√</w:t>
                </w:r>
              </w:sdtContent>
            </w:sdt>
          </w:p>
        </w:tc>
        <w:tc>
          <w:tcPr>
            <w:tcW w:w="1118" w:type="dxa"/>
          </w:tcPr>
          <w:p w:rsidR="008D6A97" w:rsidRDefault="00E64BAC">
            <w:pPr>
              <w:spacing w:after="120"/>
              <w:rPr>
                <w:rFonts w:ascii="Palatino Linotype" w:eastAsia="Palatino Linotype" w:hAnsi="Palatino Linotype" w:cs="Palatino Linotype"/>
                <w:sz w:val="20"/>
                <w:szCs w:val="20"/>
              </w:rPr>
            </w:pPr>
            <w:sdt>
              <w:sdtPr>
                <w:tag w:val="goog_rdk_2"/>
                <w:id w:val="-1421174131"/>
              </w:sdtPr>
              <w:sdtEndPr/>
              <w:sdtContent>
                <w:r w:rsidR="0029088D">
                  <w:rPr>
                    <w:rFonts w:ascii="Arial Unicode MS" w:eastAsia="Arial Unicode MS" w:hAnsi="Arial Unicode MS" w:cs="Arial Unicode MS"/>
                    <w:sz w:val="20"/>
                    <w:szCs w:val="20"/>
                  </w:rPr>
                  <w:t>√</w:t>
                </w:r>
              </w:sdtContent>
            </w:sdt>
          </w:p>
        </w:tc>
        <w:tc>
          <w:tcPr>
            <w:tcW w:w="1118" w:type="dxa"/>
          </w:tcPr>
          <w:p w:rsidR="008D6A97" w:rsidRDefault="00E64BAC">
            <w:pPr>
              <w:spacing w:after="120"/>
              <w:rPr>
                <w:rFonts w:ascii="Palatino Linotype" w:eastAsia="Palatino Linotype" w:hAnsi="Palatino Linotype" w:cs="Palatino Linotype"/>
                <w:sz w:val="20"/>
                <w:szCs w:val="20"/>
              </w:rPr>
            </w:pPr>
            <w:sdt>
              <w:sdtPr>
                <w:tag w:val="goog_rdk_3"/>
                <w:id w:val="1747536201"/>
              </w:sdtPr>
              <w:sdtEndPr/>
              <w:sdtContent>
                <w:r w:rsidR="0029088D">
                  <w:rPr>
                    <w:rFonts w:ascii="Arial Unicode MS" w:eastAsia="Arial Unicode MS" w:hAnsi="Arial Unicode MS" w:cs="Arial Unicode MS"/>
                    <w:sz w:val="20"/>
                    <w:szCs w:val="20"/>
                  </w:rPr>
                  <w:t>√</w:t>
                </w:r>
              </w:sdtContent>
            </w:sdt>
          </w:p>
        </w:tc>
        <w:tc>
          <w:tcPr>
            <w:tcW w:w="892" w:type="dxa"/>
          </w:tcPr>
          <w:p w:rsidR="008D6A97" w:rsidRDefault="00E64BAC">
            <w:pPr>
              <w:spacing w:after="120"/>
              <w:rPr>
                <w:rFonts w:ascii="Palatino Linotype" w:eastAsia="Palatino Linotype" w:hAnsi="Palatino Linotype" w:cs="Palatino Linotype"/>
                <w:sz w:val="20"/>
                <w:szCs w:val="20"/>
              </w:rPr>
            </w:pPr>
            <w:sdt>
              <w:sdtPr>
                <w:tag w:val="goog_rdk_4"/>
                <w:id w:val="-1096471483"/>
              </w:sdtPr>
              <w:sdtEndPr/>
              <w:sdtContent>
                <w:r w:rsidR="0029088D">
                  <w:rPr>
                    <w:rFonts w:ascii="Arial Unicode MS" w:eastAsia="Arial Unicode MS" w:hAnsi="Arial Unicode MS" w:cs="Arial Unicode MS"/>
                    <w:sz w:val="20"/>
                    <w:szCs w:val="20"/>
                  </w:rPr>
                  <w:t>√</w:t>
                </w:r>
              </w:sdtContent>
            </w:sdt>
          </w:p>
        </w:tc>
        <w:tc>
          <w:tcPr>
            <w:tcW w:w="892" w:type="dxa"/>
          </w:tcPr>
          <w:p w:rsidR="008D6A97" w:rsidRDefault="00E64BAC">
            <w:pPr>
              <w:spacing w:after="120"/>
              <w:rPr>
                <w:rFonts w:ascii="Palatino Linotype" w:eastAsia="Palatino Linotype" w:hAnsi="Palatino Linotype" w:cs="Palatino Linotype"/>
                <w:sz w:val="20"/>
                <w:szCs w:val="20"/>
              </w:rPr>
            </w:pPr>
            <w:sdt>
              <w:sdtPr>
                <w:tag w:val="goog_rdk_5"/>
                <w:id w:val="-1550442009"/>
              </w:sdtPr>
              <w:sdtEndPr/>
              <w:sdtContent>
                <w:r w:rsidR="0029088D">
                  <w:rPr>
                    <w:rFonts w:ascii="Arial Unicode MS" w:eastAsia="Arial Unicode MS" w:hAnsi="Arial Unicode MS" w:cs="Arial Unicode MS"/>
                    <w:sz w:val="20"/>
                    <w:szCs w:val="20"/>
                  </w:rPr>
                  <w:t>√</w:t>
                </w:r>
              </w:sdtContent>
            </w:sdt>
          </w:p>
        </w:tc>
      </w:tr>
      <w:tr w:rsidR="008D6A97">
        <w:trPr>
          <w:jc w:val="center"/>
        </w:trPr>
        <w:tc>
          <w:tcPr>
            <w:tcW w:w="4061" w:type="dxa"/>
          </w:tcPr>
          <w:p w:rsidR="008D6A97" w:rsidRDefault="0029088D">
            <w:pPr>
              <w:tabs>
                <w:tab w:val="left" w:pos="264"/>
              </w:tabs>
              <w:spacing w:after="120"/>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2. Обезпечения и отчисления по чл. 60 и чл. 64 от ЗУО</w:t>
            </w:r>
          </w:p>
        </w:tc>
        <w:tc>
          <w:tcPr>
            <w:tcW w:w="981"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29088D">
            <w:pPr>
              <w:spacing w:after="12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 xml:space="preserve">2 815 677 </w:t>
            </w:r>
          </w:p>
        </w:tc>
        <w:tc>
          <w:tcPr>
            <w:tcW w:w="1118" w:type="dxa"/>
          </w:tcPr>
          <w:p w:rsidR="008D6A97" w:rsidRDefault="0029088D">
            <w:pPr>
              <w:spacing w:after="120"/>
              <w:rPr>
                <w:rFonts w:ascii="Palatino Linotype" w:eastAsia="Palatino Linotype" w:hAnsi="Palatino Linotype" w:cs="Palatino Linotype"/>
                <w:sz w:val="18"/>
                <w:szCs w:val="18"/>
              </w:rPr>
            </w:pPr>
            <w:r>
              <w:rPr>
                <w:sz w:val="18"/>
                <w:szCs w:val="18"/>
              </w:rPr>
              <w:t xml:space="preserve">1 578 209 </w:t>
            </w:r>
          </w:p>
        </w:tc>
        <w:tc>
          <w:tcPr>
            <w:tcW w:w="892"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r>
      <w:tr w:rsidR="008D6A97">
        <w:trPr>
          <w:jc w:val="center"/>
        </w:trPr>
        <w:tc>
          <w:tcPr>
            <w:tcW w:w="4061" w:type="dxa"/>
            <w:vAlign w:val="bottom"/>
          </w:tcPr>
          <w:p w:rsidR="008D6A97" w:rsidRDefault="0029088D">
            <w:pPr>
              <w:tabs>
                <w:tab w:val="left" w:pos="264"/>
              </w:tabs>
              <w:spacing w:after="120"/>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3. Средства от ПУДООС</w:t>
            </w:r>
          </w:p>
        </w:tc>
        <w:tc>
          <w:tcPr>
            <w:tcW w:w="981"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r>
      <w:tr w:rsidR="008D6A97">
        <w:trPr>
          <w:trHeight w:val="478"/>
          <w:jc w:val="center"/>
        </w:trPr>
        <w:tc>
          <w:tcPr>
            <w:tcW w:w="4061" w:type="dxa"/>
            <w:vAlign w:val="bottom"/>
          </w:tcPr>
          <w:p w:rsidR="008D6A97" w:rsidRDefault="0029088D">
            <w:pPr>
              <w:numPr>
                <w:ilvl w:val="0"/>
                <w:numId w:val="4"/>
              </w:numPr>
              <w:pBdr>
                <w:top w:val="nil"/>
                <w:left w:val="nil"/>
                <w:bottom w:val="nil"/>
                <w:right w:val="nil"/>
                <w:between w:val="nil"/>
              </w:pBdr>
              <w:tabs>
                <w:tab w:val="left" w:pos="264"/>
              </w:tabs>
              <w:spacing w:after="120"/>
              <w:ind w:left="0" w:firstLine="29"/>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ОПОС 2014-2020</w:t>
            </w:r>
          </w:p>
        </w:tc>
        <w:tc>
          <w:tcPr>
            <w:tcW w:w="981"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r>
      <w:tr w:rsidR="008D6A97">
        <w:trPr>
          <w:trHeight w:val="350"/>
          <w:jc w:val="center"/>
        </w:trPr>
        <w:tc>
          <w:tcPr>
            <w:tcW w:w="4061" w:type="dxa"/>
          </w:tcPr>
          <w:p w:rsidR="008D6A97" w:rsidRDefault="0029088D">
            <w:pPr>
              <w:numPr>
                <w:ilvl w:val="0"/>
                <w:numId w:val="4"/>
              </w:numPr>
              <w:pBdr>
                <w:top w:val="nil"/>
                <w:left w:val="nil"/>
                <w:bottom w:val="nil"/>
                <w:right w:val="nil"/>
                <w:between w:val="nil"/>
              </w:pBdr>
              <w:tabs>
                <w:tab w:val="left" w:pos="264"/>
              </w:tabs>
              <w:spacing w:after="120"/>
              <w:ind w:left="0" w:firstLine="29"/>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lastRenderedPageBreak/>
              <w:t>Бюджет на общината (извън приходите от такса ТБО)</w:t>
            </w:r>
          </w:p>
        </w:tc>
        <w:tc>
          <w:tcPr>
            <w:tcW w:w="981"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r>
      <w:tr w:rsidR="008D6A97">
        <w:trPr>
          <w:jc w:val="center"/>
        </w:trPr>
        <w:tc>
          <w:tcPr>
            <w:tcW w:w="4061" w:type="dxa"/>
            <w:vAlign w:val="bottom"/>
          </w:tcPr>
          <w:p w:rsidR="008D6A97" w:rsidRDefault="0029088D">
            <w:pPr>
              <w:numPr>
                <w:ilvl w:val="0"/>
                <w:numId w:val="4"/>
              </w:numPr>
              <w:pBdr>
                <w:top w:val="nil"/>
                <w:left w:val="nil"/>
                <w:bottom w:val="nil"/>
                <w:right w:val="nil"/>
                <w:between w:val="nil"/>
              </w:pBdr>
              <w:tabs>
                <w:tab w:val="left" w:pos="264"/>
              </w:tabs>
              <w:spacing w:after="120"/>
              <w:ind w:left="0" w:firstLine="29"/>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Други </w:t>
            </w:r>
          </w:p>
        </w:tc>
        <w:tc>
          <w:tcPr>
            <w:tcW w:w="981"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1118"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c>
          <w:tcPr>
            <w:tcW w:w="892" w:type="dxa"/>
          </w:tcPr>
          <w:p w:rsidR="008D6A97" w:rsidRDefault="008D6A97">
            <w:pPr>
              <w:spacing w:after="120"/>
              <w:rPr>
                <w:rFonts w:ascii="Palatino Linotype" w:eastAsia="Palatino Linotype" w:hAnsi="Palatino Linotype" w:cs="Palatino Linotype"/>
                <w:sz w:val="20"/>
                <w:szCs w:val="20"/>
              </w:rPr>
            </w:pPr>
          </w:p>
        </w:tc>
      </w:tr>
    </w:tbl>
    <w:p w:rsidR="008D6A97" w:rsidRDefault="0029088D">
      <w:pPr>
        <w:jc w:val="right"/>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                                                                                    Източник: Столична община</w:t>
      </w:r>
    </w:p>
    <w:p w:rsidR="008D6A97" w:rsidRDefault="008D6A97">
      <w:pPr>
        <w:jc w:val="both"/>
        <w:rPr>
          <w:rFonts w:ascii="Palatino Linotype" w:eastAsia="Palatino Linotype" w:hAnsi="Palatino Linotype" w:cs="Palatino Linotype"/>
        </w:rPr>
      </w:pP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През 2017 г . са изразходвани 2 815 677 лв., а през 2018 г. -  1 578 209 лв. от натрупаните  обезпечения и отчисления по чл. 60 и чл. 64 от ЗУО за финансиране на дейностите по  управлението на  битовите отпадъци.</w:t>
      </w:r>
    </w:p>
    <w:p w:rsidR="008D6A97" w:rsidRDefault="0029088D">
      <w:pPr>
        <w:numPr>
          <w:ilvl w:val="0"/>
          <w:numId w:val="1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Възможности за финансиране на дейностите по отпадъци </w:t>
      </w:r>
    </w:p>
    <w:p w:rsidR="008D6A97" w:rsidRDefault="008D6A97">
      <w:pPr>
        <w:pBdr>
          <w:top w:val="nil"/>
          <w:left w:val="nil"/>
          <w:bottom w:val="nil"/>
          <w:right w:val="nil"/>
          <w:between w:val="nil"/>
        </w:pBdr>
        <w:ind w:left="720"/>
        <w:jc w:val="both"/>
        <w:rPr>
          <w:rFonts w:ascii="Palatino Linotype" w:eastAsia="Palatino Linotype" w:hAnsi="Palatino Linotype" w:cs="Palatino Linotype"/>
          <w:color w:val="000000"/>
        </w:rPr>
      </w:pP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 xml:space="preserve">Основен източник на финансиране на дейностите по отпадъците е Програма Околна среда 2021-2027 г. </w:t>
      </w:r>
    </w:p>
    <w:p w:rsidR="008D6A97" w:rsidRDefault="0029088D">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Съобразявайки се със специфичните за страната препоръки в Годишния доклад на ЕК за България за 2019 г. и отчитайки хоризонталния характер на политиките по околна среда и изменение на климата, като приоритетни за финансиране за периода 2021 – 2027 г., ПОС 2021-2027 г. идентифицира пет основни области („Води“, „Отпадъци“,</w:t>
      </w:r>
      <w:r>
        <w:rPr>
          <w:color w:val="000000"/>
        </w:rPr>
        <w:t xml:space="preserve"> </w:t>
      </w:r>
      <w:r>
        <w:rPr>
          <w:rFonts w:ascii="Palatino Linotype" w:eastAsia="Palatino Linotype" w:hAnsi="Palatino Linotype" w:cs="Palatino Linotype"/>
          <w:color w:val="000000"/>
        </w:rPr>
        <w:t>„Биологично разнообразие“, „Риск и изменение на климата“ и „Въздух“).</w:t>
      </w:r>
      <w:r>
        <w:rPr>
          <w:color w:val="000000"/>
        </w:rPr>
        <w:t xml:space="preserve"> </w:t>
      </w:r>
      <w:r>
        <w:rPr>
          <w:rFonts w:ascii="Palatino Linotype" w:eastAsia="Palatino Linotype" w:hAnsi="Palatino Linotype" w:cs="Palatino Linotype"/>
          <w:color w:val="000000"/>
        </w:rPr>
        <w:t>Те са насочени към постигане на следната Цел на политиката 2 от проекта на Общ Регламент: „По-зелена, нисковъглеродна Европа чрез насърчаване на чист и справедлив енергиен преход, зелени и сини инвестиции, кръгова икономика, приспособяване към изменението на климата и превенция и управление на риска“.</w:t>
      </w:r>
      <w:r>
        <w:rPr>
          <w:color w:val="000000"/>
        </w:rPr>
        <w:t xml:space="preserve"> </w:t>
      </w:r>
      <w:r>
        <w:rPr>
          <w:rFonts w:ascii="Palatino Linotype" w:eastAsia="Palatino Linotype" w:hAnsi="Palatino Linotype" w:cs="Palatino Linotype"/>
          <w:color w:val="000000"/>
        </w:rPr>
        <w:t>В следващата таблица са представени  специфичните цели и допустими дейности  по приоритет Отпадъци:</w:t>
      </w:r>
    </w:p>
    <w:p w:rsidR="008D6A97" w:rsidRDefault="008D6A97">
      <w:pPr>
        <w:pBdr>
          <w:top w:val="nil"/>
          <w:left w:val="nil"/>
          <w:bottom w:val="nil"/>
          <w:right w:val="nil"/>
          <w:between w:val="nil"/>
        </w:pBdr>
        <w:spacing w:after="0"/>
        <w:jc w:val="both"/>
        <w:rPr>
          <w:rFonts w:ascii="Palatino Linotype" w:eastAsia="Palatino Linotype" w:hAnsi="Palatino Linotype" w:cs="Palatino Linotype"/>
          <w:color w:val="000000"/>
        </w:rPr>
      </w:pPr>
    </w:p>
    <w:p w:rsidR="008D6A97" w:rsidRDefault="0029088D">
      <w:pPr>
        <w:pBdr>
          <w:top w:val="nil"/>
          <w:left w:val="nil"/>
          <w:bottom w:val="nil"/>
          <w:right w:val="nil"/>
          <w:between w:val="nil"/>
        </w:pBdr>
        <w:spacing w:after="200" w:line="240" w:lineRule="auto"/>
        <w:rPr>
          <w:i/>
          <w:color w:val="44546A"/>
          <w:sz w:val="18"/>
          <w:szCs w:val="18"/>
        </w:rPr>
      </w:pPr>
      <w:r>
        <w:rPr>
          <w:i/>
          <w:color w:val="44546A"/>
          <w:sz w:val="18"/>
          <w:szCs w:val="18"/>
        </w:rPr>
        <w:t>Таблица 5 Специфични цели и допустими мерки по приоритет Отпадъци на</w:t>
      </w:r>
      <w:r>
        <w:rPr>
          <w:rFonts w:ascii="Palatino Linotype" w:eastAsia="Palatino Linotype" w:hAnsi="Palatino Linotype" w:cs="Palatino Linotype"/>
          <w:i/>
          <w:color w:val="000000"/>
          <w:sz w:val="18"/>
          <w:szCs w:val="18"/>
        </w:rPr>
        <w:t xml:space="preserve"> </w:t>
      </w:r>
      <w:r>
        <w:rPr>
          <w:i/>
          <w:color w:val="44546A"/>
          <w:sz w:val="18"/>
          <w:szCs w:val="18"/>
        </w:rPr>
        <w:t xml:space="preserve">ПОС 2021-2027 г.  </w:t>
      </w:r>
    </w:p>
    <w:tbl>
      <w:tblPr>
        <w:tblStyle w:val="a9"/>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1"/>
        <w:gridCol w:w="6653"/>
      </w:tblGrid>
      <w:tr w:rsidR="008D6A97">
        <w:tc>
          <w:tcPr>
            <w:tcW w:w="2981"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Специфична цел </w:t>
            </w:r>
          </w:p>
        </w:tc>
        <w:tc>
          <w:tcPr>
            <w:tcW w:w="6653"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Допустими мерки </w:t>
            </w:r>
          </w:p>
        </w:tc>
      </w:tr>
      <w:tr w:rsidR="008D6A97">
        <w:tc>
          <w:tcPr>
            <w:tcW w:w="2981" w:type="dxa"/>
            <w:vMerge w:val="restart"/>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Насърчаване на прехода към кръгова и основаваща се на ефективно използване на ресурсите икономика</w:t>
            </w:r>
          </w:p>
        </w:tc>
        <w:tc>
          <w:tcPr>
            <w:tcW w:w="6653" w:type="dxa"/>
          </w:tcPr>
          <w:p w:rsidR="008D6A97" w:rsidRDefault="0029088D">
            <w:pPr>
              <w:pBdr>
                <w:top w:val="nil"/>
                <w:left w:val="nil"/>
                <w:bottom w:val="nil"/>
                <w:right w:val="nil"/>
                <w:between w:val="nil"/>
              </w:pBdr>
              <w:spacing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1.Мерки за развитие/надграждане на инфраструктурата, свързана с управлението на битовите отпадъци на регионално ниво на управление на отпадъците за постигане на целите за 2030 г. за рециклиране на отпадъците и депониране на отпадъци:</w:t>
            </w:r>
          </w:p>
          <w:p w:rsidR="008D6A97" w:rsidRDefault="0029088D">
            <w:pPr>
              <w:pBdr>
                <w:top w:val="nil"/>
                <w:left w:val="nil"/>
                <w:bottom w:val="nil"/>
                <w:right w:val="nil"/>
                <w:between w:val="nil"/>
              </w:pBdr>
              <w:spacing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Допустими за РСУО Габрово, Видин, Ловеч, Луковит, Омуртаг, Панагюрище, Разлог, Рудозем, Търговище и Кърджали – мерки за предотвратяване и подготовка за повторна употреба, разделно събиране на отпадъците, задължително за биоразградими отпадъци, изграждане на инсталации за рециклиране и предварително третиране и др. (съгласно Приложение 7 от НПУО 2021-2028 г.);</w:t>
            </w:r>
          </w:p>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 xml:space="preserve">- Допустими за РСУО Велико Търново, Враца, Карлово, Костенец, Малко Търново, Монтана, Перник, Плевен, Силистра, Стара Загора, </w:t>
            </w:r>
            <w:r>
              <w:rPr>
                <w:rFonts w:ascii="Palatino Linotype" w:eastAsia="Palatino Linotype" w:hAnsi="Palatino Linotype" w:cs="Palatino Linotype"/>
                <w:color w:val="000000"/>
                <w:sz w:val="20"/>
                <w:szCs w:val="20"/>
              </w:rPr>
              <w:lastRenderedPageBreak/>
              <w:t>Харманли, Хасково - мерки за предотвратяване и подготовка за повторна употреба, разделно събиране на отпадъци, задължително за биоразградими отпадъци, изграждане на инсталации за рециклиране и надграждане на съществуващи инсталации за предварително третиране и др. (съгласно Приложение 6 от НПУО 2021-2028 г.);</w:t>
            </w:r>
          </w:p>
        </w:tc>
      </w:tr>
      <w:tr w:rsidR="008D6A97">
        <w:tc>
          <w:tcPr>
            <w:tcW w:w="2981" w:type="dxa"/>
            <w:vMerge/>
          </w:tcPr>
          <w:p w:rsidR="008D6A97" w:rsidRDefault="008D6A9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20"/>
                <w:szCs w:val="20"/>
              </w:rPr>
            </w:pPr>
          </w:p>
        </w:tc>
        <w:tc>
          <w:tcPr>
            <w:tcW w:w="6653" w:type="dxa"/>
          </w:tcPr>
          <w:p w:rsidR="008D6A97" w:rsidRDefault="0029088D">
            <w:pPr>
              <w:pBdr>
                <w:top w:val="nil"/>
                <w:left w:val="nil"/>
                <w:bottom w:val="nil"/>
                <w:right w:val="nil"/>
                <w:between w:val="nil"/>
              </w:pBdr>
              <w:spacing w:after="160" w:line="259" w:lineRule="auto"/>
              <w:ind w:left="34"/>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2.Мерки за изграждане на центрове за подготовка за повторна употреба и поправка; - допустими за всички</w:t>
            </w:r>
          </w:p>
        </w:tc>
      </w:tr>
      <w:tr w:rsidR="008D6A97">
        <w:tc>
          <w:tcPr>
            <w:tcW w:w="2981" w:type="dxa"/>
            <w:vMerge/>
          </w:tcPr>
          <w:p w:rsidR="008D6A97" w:rsidRDefault="008D6A9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20"/>
                <w:szCs w:val="20"/>
              </w:rPr>
            </w:pPr>
          </w:p>
        </w:tc>
        <w:tc>
          <w:tcPr>
            <w:tcW w:w="6653"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3.Мерки за рециклиране на отпадъците – допустими в комбинация с разделно събиране и предварително третиране - допустими за всички</w:t>
            </w:r>
          </w:p>
        </w:tc>
      </w:tr>
      <w:tr w:rsidR="008D6A97">
        <w:tc>
          <w:tcPr>
            <w:tcW w:w="2981" w:type="dxa"/>
            <w:vMerge/>
          </w:tcPr>
          <w:p w:rsidR="008D6A97" w:rsidRDefault="008D6A9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20"/>
                <w:szCs w:val="20"/>
              </w:rPr>
            </w:pPr>
          </w:p>
        </w:tc>
        <w:tc>
          <w:tcPr>
            <w:tcW w:w="6653"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4.Мерки за изграждане, разширяване и/или надграждане на общински/регионални системи за разделно събиране на отпадъци и/или за рециклиране на разделно събрани отпадъци, мерки за предотвратяване и др. за постигане на целите за 2030 г. за рециклиране и намаляване количествата на депонираните битови отпадъци – за РСУО съгласно Приложение 8 на НПУО 2021-2028 г.</w:t>
            </w:r>
          </w:p>
        </w:tc>
      </w:tr>
      <w:tr w:rsidR="008D6A97">
        <w:tc>
          <w:tcPr>
            <w:tcW w:w="2981" w:type="dxa"/>
            <w:vMerge/>
          </w:tcPr>
          <w:p w:rsidR="008D6A97" w:rsidRDefault="008D6A9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20"/>
                <w:szCs w:val="20"/>
              </w:rPr>
            </w:pPr>
          </w:p>
        </w:tc>
        <w:tc>
          <w:tcPr>
            <w:tcW w:w="6653"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bookmarkStart w:id="3" w:name="_heading=h.1fob9te" w:colFirst="0" w:colLast="0"/>
            <w:bookmarkEnd w:id="3"/>
            <w:r>
              <w:rPr>
                <w:rFonts w:ascii="Palatino Linotype" w:eastAsia="Palatino Linotype" w:hAnsi="Palatino Linotype" w:cs="Palatino Linotype"/>
                <w:color w:val="000000"/>
                <w:sz w:val="20"/>
                <w:szCs w:val="20"/>
              </w:rPr>
              <w:t>5.</w:t>
            </w:r>
            <w:r>
              <w:rPr>
                <w:color w:val="000000"/>
              </w:rPr>
              <w:t xml:space="preserve"> </w:t>
            </w:r>
            <w:r>
              <w:rPr>
                <w:rFonts w:ascii="Palatino Linotype" w:eastAsia="Palatino Linotype" w:hAnsi="Palatino Linotype" w:cs="Palatino Linotype"/>
                <w:color w:val="000000"/>
                <w:sz w:val="20"/>
                <w:szCs w:val="20"/>
              </w:rPr>
              <w:t xml:space="preserve">Модели за оптимизиране на процеса на управление на битовите отпадъци от общините в България и тестването на тези модели в три регионални системи за управление на отпадъците; </w:t>
            </w:r>
          </w:p>
        </w:tc>
      </w:tr>
      <w:tr w:rsidR="008D6A97">
        <w:tc>
          <w:tcPr>
            <w:tcW w:w="2981" w:type="dxa"/>
            <w:vMerge/>
          </w:tcPr>
          <w:p w:rsidR="008D6A97" w:rsidRDefault="008D6A97">
            <w:pPr>
              <w:widowControl w:val="0"/>
              <w:pBdr>
                <w:top w:val="nil"/>
                <w:left w:val="nil"/>
                <w:bottom w:val="nil"/>
                <w:right w:val="nil"/>
                <w:between w:val="nil"/>
              </w:pBdr>
              <w:spacing w:line="276" w:lineRule="auto"/>
              <w:rPr>
                <w:rFonts w:ascii="Palatino Linotype" w:eastAsia="Palatino Linotype" w:hAnsi="Palatino Linotype" w:cs="Palatino Linotype"/>
                <w:color w:val="000000"/>
                <w:sz w:val="20"/>
                <w:szCs w:val="20"/>
              </w:rPr>
            </w:pPr>
          </w:p>
        </w:tc>
        <w:tc>
          <w:tcPr>
            <w:tcW w:w="6653" w:type="dxa"/>
          </w:tcPr>
          <w:p w:rsidR="008D6A97" w:rsidRDefault="0029088D">
            <w:pPr>
              <w:pBdr>
                <w:top w:val="nil"/>
                <w:left w:val="nil"/>
                <w:bottom w:val="nil"/>
                <w:right w:val="nil"/>
                <w:between w:val="nil"/>
              </w:pBdr>
              <w:spacing w:after="160" w:line="259" w:lineRule="auto"/>
              <w:jc w:val="both"/>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t>6.</w:t>
            </w:r>
            <w:r>
              <w:rPr>
                <w:color w:val="000000"/>
              </w:rPr>
              <w:t xml:space="preserve"> </w:t>
            </w:r>
            <w:r>
              <w:rPr>
                <w:rFonts w:ascii="Palatino Linotype" w:eastAsia="Palatino Linotype" w:hAnsi="Palatino Linotype" w:cs="Palatino Linotype"/>
                <w:color w:val="000000"/>
                <w:sz w:val="20"/>
                <w:szCs w:val="20"/>
              </w:rPr>
              <w:t>Повишаване на осведомеността относно практиките и поведението във връзка с устойчивото потребление, кръговата икономика, мониторинга на отпадъците както и информационни и разяснителни кампании за заинтересованите страни и населението. - допустими за всички</w:t>
            </w:r>
          </w:p>
        </w:tc>
      </w:tr>
    </w:tbl>
    <w:p w:rsidR="008D6A97" w:rsidRDefault="008D6A97">
      <w:pPr>
        <w:pBdr>
          <w:top w:val="nil"/>
          <w:left w:val="nil"/>
          <w:bottom w:val="nil"/>
          <w:right w:val="nil"/>
          <w:between w:val="nil"/>
        </w:pBdr>
        <w:spacing w:after="0"/>
        <w:jc w:val="both"/>
        <w:rPr>
          <w:rFonts w:ascii="Palatino Linotype" w:eastAsia="Palatino Linotype" w:hAnsi="Palatino Linotype" w:cs="Palatino Linotype"/>
          <w:color w:val="000000"/>
        </w:rPr>
      </w:pPr>
    </w:p>
    <w:p w:rsidR="008D6A97" w:rsidRDefault="0029088D">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Мерките са насочени към отпадъците в приложното поле на Закона за управление на отпадъците (битови, производствени и строителни) и чието третиране се отчита за постигане на българските национални цели съгласно европейското и националното законодателство. Тяхното прилагане ще допринесе за намаляване на количеството депонирани битови отпадъци и увеличаване на дела на разделно събраните и рециклирани отпадъци за подпомагане на прехода към кръгова икономика. Приоритет са мерките, насочени към управлението на битовите отпадъци в задълженията на общините по Закона за управление на отпадъците</w:t>
      </w:r>
    </w:p>
    <w:p w:rsidR="008D6A97" w:rsidRDefault="0029088D">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Мерките за рециклиране на отпадъци, които се извършват от рециклиращи предприятия, се отнасят за битови, производствени и строителни отпадъци.  Мерките трябва да водят до увеличаване на капацитета за рециклиране. Мерките са допустими, също така, в комбинация с дейности по предварително третиране и/или по разделно събиране на отпадъците, които ще бъдат рециклирани. Мерките за рециклиране в индустриалните зони/паркове може да бъдат подкрепяни в комбинация с мерки за разделно събиране на отпадъци.</w:t>
      </w:r>
    </w:p>
    <w:p w:rsidR="008D6A97" w:rsidRDefault="0029088D">
      <w:p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 xml:space="preserve">Столична община може да се възползва от възможностите за финансиране по ПОС 2021-2027 г. по следните мерки: </w:t>
      </w:r>
    </w:p>
    <w:p w:rsidR="008D6A97" w:rsidRDefault="0029088D">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Мерки за изграждане на центрове за подготовка за повторна употреба и поправка;</w:t>
      </w:r>
    </w:p>
    <w:p w:rsidR="008D6A97" w:rsidRDefault="0029088D">
      <w:pPr>
        <w:numPr>
          <w:ilvl w:val="0"/>
          <w:numId w:val="1"/>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Мерки за рециклиране на отпадъците – допустими в комбинация с разделно събиране и предварително третиране</w:t>
      </w:r>
    </w:p>
    <w:p w:rsidR="008D6A97" w:rsidRDefault="0029088D">
      <w:pPr>
        <w:numPr>
          <w:ilvl w:val="0"/>
          <w:numId w:val="1"/>
        </w:num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Повишаване на осведомеността относно практиките и поведението във връзка с устойчивото потребление, кръговата икономика, мониторинга на отпадъците както и информационни и разяснителни кампании за заинтересованите страни и населението.</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Други възможности за финансиране на дейностите по управление на отпадъците е чрез ПУДООС. ПУДООС финансира следните групи проекти, свързани с управлението на отпадъците:</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Проекти, включени в Националната програма за управление на дейностите по отпадъците (НПУДО), в т.ч. изграждане на нови или реконструкция на съществуващи обекти за управление на отпадъци (вкл. подобекти, части, инсталации и/ или съоръжения).</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Проекти от Националната програма за управление на дейностите по отпадъците, реализирани по донорски програми (европейски фондове, държавен бюджет или други източници на финансиране), изискващи допълнително съфинансиране от българска страна.</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Проекти по програма за въвеждане на система за организирано събиране и транспортиране на отпадъците от населените места. Финансирането на предложението трябва да е съобразено със заложените приоритети в НПУДО. </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Финансиране на проекти, в рамките на Национална кампания “За чиста околна среда”.</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Проекти в екологично застрашени райони.</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Проекти за намаляване на риска и опасността от стари замърсявания - по приоритети, съгласно Националната програма за намаляване броя и опасността от депата и старите замърсявания с отпадъци.</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Закупуване на специализирани машини, изграждане на съоръжения и инсталации, за преработване на отпадъци до получаване на суровини за производство на крайни продукти или крайни продукти, като неразделна част от линия за преработване, рециклиране или оползотворяване на отпадъците, необходимостта от които е проектно доказана.</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Подготовка на проектна документация за реализиране на проекти, заложени в НПУДО.</w:t>
      </w:r>
    </w:p>
    <w:p w:rsidR="008D6A97" w:rsidRDefault="0029088D">
      <w:pPr>
        <w:numPr>
          <w:ilvl w:val="0"/>
          <w:numId w:val="3"/>
        </w:numPr>
        <w:pBdr>
          <w:top w:val="nil"/>
          <w:left w:val="nil"/>
          <w:bottom w:val="nil"/>
          <w:right w:val="nil"/>
          <w:between w:val="nil"/>
        </w:pBdr>
        <w:spacing w:after="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Изграждане на системи за управление на опасни и масово разпространени отпадъци, образувани от    продукти, за които са заплатени продуктови такси в ПУДООС.</w:t>
      </w:r>
    </w:p>
    <w:p w:rsidR="008D6A97" w:rsidRDefault="0029088D">
      <w:pPr>
        <w:numPr>
          <w:ilvl w:val="0"/>
          <w:numId w:val="3"/>
        </w:num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 xml:space="preserve">Дейности по събиране, </w:t>
      </w:r>
      <w:proofErr w:type="spellStart"/>
      <w:r>
        <w:rPr>
          <w:rFonts w:ascii="Palatino Linotype" w:eastAsia="Palatino Linotype" w:hAnsi="Palatino Linotype" w:cs="Palatino Linotype"/>
          <w:color w:val="000000"/>
        </w:rPr>
        <w:t>преопаковане</w:t>
      </w:r>
      <w:proofErr w:type="spellEnd"/>
      <w:r>
        <w:rPr>
          <w:rFonts w:ascii="Palatino Linotype" w:eastAsia="Palatino Linotype" w:hAnsi="Palatino Linotype" w:cs="Palatino Linotype"/>
          <w:color w:val="000000"/>
        </w:rPr>
        <w:t>, временно съхранение, транспортиране, износ в страните от ЕС за крайно обезвреждане на пестицидите чрез изгаряне в лицензирано съоръжение и саниране на освободените площи.</w:t>
      </w:r>
    </w:p>
    <w:p w:rsidR="008D6A97" w:rsidRDefault="008D6A97">
      <w:pPr>
        <w:jc w:val="both"/>
        <w:rPr>
          <w:rFonts w:ascii="Palatino Linotype" w:eastAsia="Palatino Linotype" w:hAnsi="Palatino Linotype" w:cs="Palatino Linotype"/>
        </w:rPr>
      </w:pPr>
    </w:p>
    <w:p w:rsidR="008D6A97" w:rsidRDefault="0029088D">
      <w:pPr>
        <w:numPr>
          <w:ilvl w:val="0"/>
          <w:numId w:val="11"/>
        </w:numPr>
        <w:pBdr>
          <w:top w:val="nil"/>
          <w:left w:val="nil"/>
          <w:bottom w:val="nil"/>
          <w:right w:val="nil"/>
          <w:between w:val="nil"/>
        </w:pBdr>
        <w:tabs>
          <w:tab w:val="left" w:pos="426"/>
        </w:tabs>
        <w:spacing w:line="276" w:lineRule="auto"/>
        <w:rPr>
          <w:rFonts w:ascii="Palatino Linotype" w:eastAsia="Palatino Linotype" w:hAnsi="Palatino Linotype" w:cs="Palatino Linotype"/>
          <w:color w:val="000000"/>
        </w:rPr>
      </w:pPr>
      <w:r>
        <w:rPr>
          <w:rFonts w:ascii="Palatino Linotype" w:eastAsia="Palatino Linotype" w:hAnsi="Palatino Linotype" w:cs="Palatino Linotype"/>
          <w:color w:val="000000"/>
        </w:rPr>
        <w:t>Поносимост на такса битови отпадъци</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 xml:space="preserve">Оценката на поносимостта на разходите за управление на отпадъците, които населението на Столична община заплаща, е извършен съгласно използваните методи при разработването на НПУО 2014-2020 г. В него са  тествани възможности за оценка на поносимостта: </w:t>
      </w:r>
    </w:p>
    <w:p w:rsidR="008D6A97" w:rsidRDefault="0029088D">
      <w:pPr>
        <w:pBdr>
          <w:top w:val="nil"/>
          <w:left w:val="nil"/>
          <w:bottom w:val="nil"/>
          <w:right w:val="nil"/>
          <w:between w:val="nil"/>
        </w:pBdr>
        <w:spacing w:after="0"/>
        <w:ind w:left="7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(1) 1% от средния доход на домакинствата – общо за страната; </w:t>
      </w:r>
    </w:p>
    <w:p w:rsidR="008D6A97" w:rsidRDefault="0029088D">
      <w:pPr>
        <w:pBdr>
          <w:top w:val="nil"/>
          <w:left w:val="nil"/>
          <w:bottom w:val="nil"/>
          <w:right w:val="nil"/>
          <w:between w:val="nil"/>
        </w:pBdr>
        <w:spacing w:after="0"/>
        <w:ind w:left="72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(2) 1,2% от средния доход на домакинствата - общо за страната. Това е в съответствие и на изискванията за поносимост, прилагани при оценката на проекти, финансирани по линия на ОПОС 2007-2013 г. Тогава в отделни години за горна граница на поносимостта се приемаше 1,5% от средния доход на домакинствата.</w:t>
      </w:r>
    </w:p>
    <w:p w:rsidR="008D6A97" w:rsidRDefault="0029088D">
      <w:pPr>
        <w:pBdr>
          <w:top w:val="nil"/>
          <w:left w:val="nil"/>
          <w:bottom w:val="nil"/>
          <w:right w:val="nil"/>
          <w:between w:val="nil"/>
        </w:pBdr>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При извършване на оценката поносимостта на такса битови отпадъци са използвани данни за Столична община.  </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За целите на настоящия анализ ще бъдат разгледани и двете възможности за оценка на поносимостта. Необходимо е да се направи уточнението, че при оценката на поносимостта за населението се изключват разходите за почистване на обществени площи, които са в обхвата на услугите по такса за битови отпадъци, но не се приемат като разходи за управление на отпадъците. Оценката на поносимостта на такса за битови отпадъци, която населението на Столична община  заплаща за финансиране на разходите за управление на отпадъците, е извършена на база среден доход на домакинствата в област София (столица) и среден доход на домакинствата средно за страната. В следващата таблица на представена оценката на поносимостта на такса за битови отпадъци на база среден доход на домакинствата в област София (столица)</w:t>
      </w:r>
    </w:p>
    <w:p w:rsidR="008D6A97" w:rsidRDefault="0029088D">
      <w:pPr>
        <w:pBdr>
          <w:top w:val="nil"/>
          <w:left w:val="nil"/>
          <w:bottom w:val="nil"/>
          <w:right w:val="nil"/>
          <w:between w:val="nil"/>
        </w:pBdr>
        <w:spacing w:after="200" w:line="240" w:lineRule="auto"/>
        <w:rPr>
          <w:rFonts w:ascii="Palatino Linotype" w:eastAsia="Palatino Linotype" w:hAnsi="Palatino Linotype" w:cs="Palatino Linotype"/>
          <w:color w:val="44546A"/>
          <w:sz w:val="18"/>
          <w:szCs w:val="18"/>
        </w:rPr>
      </w:pPr>
      <w:r>
        <w:rPr>
          <w:i/>
          <w:color w:val="44546A"/>
          <w:sz w:val="18"/>
          <w:szCs w:val="18"/>
        </w:rPr>
        <w:t xml:space="preserve">     Таблица 6  Оценка на поносимостта на такса за битови отпадъци, която населението на Столична община  заплаща за финансиране на разходите за управление на отпадъците</w:t>
      </w:r>
    </w:p>
    <w:tbl>
      <w:tblPr>
        <w:tblStyle w:val="aa"/>
        <w:tblW w:w="9400" w:type="dxa"/>
        <w:tblLayout w:type="fixed"/>
        <w:tblLook w:val="0400" w:firstRow="0" w:lastRow="0" w:firstColumn="0" w:lastColumn="0" w:noHBand="0" w:noVBand="1"/>
      </w:tblPr>
      <w:tblGrid>
        <w:gridCol w:w="3000"/>
        <w:gridCol w:w="1280"/>
        <w:gridCol w:w="1380"/>
        <w:gridCol w:w="1300"/>
        <w:gridCol w:w="1200"/>
        <w:gridCol w:w="1240"/>
      </w:tblGrid>
      <w:tr w:rsidR="008D6A97">
        <w:trPr>
          <w:trHeight w:val="300"/>
        </w:trPr>
        <w:tc>
          <w:tcPr>
            <w:tcW w:w="30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доходи</w:t>
            </w:r>
          </w:p>
        </w:tc>
        <w:tc>
          <w:tcPr>
            <w:tcW w:w="128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38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3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2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124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8D6A97">
        <w:trPr>
          <w:trHeight w:val="6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доход на домакинствата   (лв.)</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17165</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17057</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18127</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19276</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20201</w:t>
            </w:r>
          </w:p>
        </w:tc>
      </w:tr>
      <w:tr w:rsidR="008D6A97">
        <w:trPr>
          <w:trHeight w:val="6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доход на едно лице   (лв.)</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7747</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7940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8758</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9494</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9787</w:t>
            </w:r>
          </w:p>
        </w:tc>
      </w:tr>
      <w:tr w:rsidR="008D6A97">
        <w:trPr>
          <w:trHeight w:val="300"/>
        </w:trPr>
        <w:tc>
          <w:tcPr>
            <w:tcW w:w="9400" w:type="dxa"/>
            <w:gridSpan w:val="6"/>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Прагове на поносимост</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 от средния доход на населението (лв./домакинство)</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205.98</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204.68</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217.52</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231.31</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242.41</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lastRenderedPageBreak/>
              <w:t>1% от средния доход на населението  (лв./домакинство)</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171.65</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170.57</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181.27</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192.76</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202.01</w:t>
            </w:r>
          </w:p>
        </w:tc>
      </w:tr>
      <w:tr w:rsidR="008D6A97">
        <w:trPr>
          <w:trHeight w:val="81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размер на 1 домакинство (бр. членове)</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 от средния доход на населението -  (лв./член на домакинство)</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93.63</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93.04</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98.87</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105.14</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110.19</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от средния доход на населението (лв./член на домакинство)</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78.02</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77.53</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82.40</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87.62</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91.82</w:t>
            </w:r>
          </w:p>
        </w:tc>
      </w:tr>
      <w:tr w:rsidR="008D6A97">
        <w:trPr>
          <w:trHeight w:val="300"/>
        </w:trPr>
        <w:tc>
          <w:tcPr>
            <w:tcW w:w="9400" w:type="dxa"/>
            <w:gridSpan w:val="6"/>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b/>
                <w:color w:val="000000"/>
                <w:sz w:val="18"/>
                <w:szCs w:val="18"/>
              </w:rPr>
              <w:t>Оценка на поносимостта</w:t>
            </w:r>
            <w:r>
              <w:rPr>
                <w:rFonts w:ascii="Palatino Linotype" w:eastAsia="Palatino Linotype" w:hAnsi="Palatino Linotype" w:cs="Palatino Linotype"/>
                <w:color w:val="000000"/>
                <w:sz w:val="18"/>
                <w:szCs w:val="18"/>
              </w:rPr>
              <w:t> </w:t>
            </w:r>
          </w:p>
        </w:tc>
      </w:tr>
      <w:tr w:rsidR="008D6A97">
        <w:trPr>
          <w:trHeight w:val="885"/>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Общо разходи за управление на отпадъците без разходи за чистота (лв.)</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112497295</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106196770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112908888</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127485776</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131966644</w:t>
            </w:r>
          </w:p>
        </w:tc>
      </w:tr>
      <w:tr w:rsidR="008D6A97">
        <w:trPr>
          <w:trHeight w:val="345"/>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Дял на домакинствата</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31.80%</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32.97%</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31.01%</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31.41%</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29.28%</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Платена такса от населението за управление на отпадъците (лв.)</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35 774 710</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35 016 534</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35 009 781</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40 039 788</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38 634 554</w:t>
            </w:r>
          </w:p>
        </w:tc>
      </w:tr>
      <w:tr w:rsidR="008D6A97">
        <w:trPr>
          <w:trHeight w:val="3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Население (бр.)</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1 323 637</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1 325 429</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1 328 120</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1 328 790</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1 308 412</w:t>
            </w:r>
          </w:p>
        </w:tc>
      </w:tr>
      <w:tr w:rsidR="008D6A97">
        <w:trPr>
          <w:trHeight w:val="900"/>
        </w:trPr>
        <w:tc>
          <w:tcPr>
            <w:tcW w:w="300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Платена такса от населението за управление на отпадъците (лв./1 жител)</w:t>
            </w:r>
          </w:p>
        </w:tc>
        <w:tc>
          <w:tcPr>
            <w:tcW w:w="12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27.03</w:t>
            </w:r>
          </w:p>
        </w:tc>
        <w:tc>
          <w:tcPr>
            <w:tcW w:w="138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26.42</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26.36</w:t>
            </w:r>
          </w:p>
        </w:tc>
        <w:tc>
          <w:tcPr>
            <w:tcW w:w="12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30.13</w:t>
            </w:r>
          </w:p>
        </w:tc>
        <w:tc>
          <w:tcPr>
            <w:tcW w:w="12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29.53</w:t>
            </w:r>
          </w:p>
        </w:tc>
      </w:tr>
    </w:tbl>
    <w:p w:rsidR="008D6A97" w:rsidRDefault="0029088D">
      <w:pPr>
        <w:jc w:val="right"/>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Източници: НСИ (https://infostat.nsi.bg/infostat/pages/reports/result.jsf?x_2=1084), собствени изчисления.</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 xml:space="preserve">За целите на анализа са използвани данни от НСИ „Общ доход по източници на доходи (общо за страната, статистически райони и области)“ за Среден доход на домакинствата   (лв.) и Среден доход на едно лице   (лв.).  </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w:t>
      </w:r>
      <w:hyperlink r:id="rId12">
        <w:r>
          <w:rPr>
            <w:rFonts w:ascii="Palatino Linotype" w:eastAsia="Palatino Linotype" w:hAnsi="Palatino Linotype" w:cs="Palatino Linotype"/>
            <w:color w:val="0563C1"/>
            <w:u w:val="single"/>
          </w:rPr>
          <w:t>https://infostat.nsi.bg/infostat/pages/reports/result.jsf?x_2=1084</w:t>
        </w:r>
      </w:hyperlink>
      <w:r>
        <w:rPr>
          <w:rFonts w:ascii="Palatino Linotype" w:eastAsia="Palatino Linotype" w:hAnsi="Palatino Linotype" w:cs="Palatino Linotype"/>
        </w:rPr>
        <w:t xml:space="preserve">) </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Поради липса на актуални данни за среден размер на 1 домакинство, сме използвали данни от преброяването 2011 г., според което средният брой лица в домакинство е бил 2,2 човека за град София.</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Платена такса от населението за управление на отпадъците (лв.) е изчислена на база предоставената информация от Столична община за Общо разходи за управление на отпадъците, без разходи за чистота (лв.) и процента на дела  на домакинствата в заплащаната такса битови отпадъци.</w:t>
      </w:r>
    </w:p>
    <w:p w:rsidR="008D6A97" w:rsidRDefault="0029088D">
      <w:pPr>
        <w:jc w:val="both"/>
        <w:rPr>
          <w:rFonts w:ascii="Palatino Linotype" w:eastAsia="Palatino Linotype" w:hAnsi="Palatino Linotype" w:cs="Palatino Linotype"/>
        </w:rPr>
      </w:pPr>
      <w:r>
        <w:rPr>
          <w:rFonts w:ascii="Palatino Linotype" w:eastAsia="Palatino Linotype" w:hAnsi="Palatino Linotype" w:cs="Palatino Linotype"/>
        </w:rPr>
        <w:t xml:space="preserve">В следващата таблица на представена оценката на поносимостта на такса за битови отпадъци на база среден доход на домакинствата за страната </w:t>
      </w:r>
    </w:p>
    <w:p w:rsidR="008D6A97" w:rsidRDefault="0029088D">
      <w:pPr>
        <w:pBdr>
          <w:top w:val="nil"/>
          <w:left w:val="nil"/>
          <w:bottom w:val="nil"/>
          <w:right w:val="nil"/>
          <w:between w:val="nil"/>
        </w:pBdr>
        <w:spacing w:after="200" w:line="240" w:lineRule="auto"/>
        <w:rPr>
          <w:i/>
          <w:color w:val="44546A"/>
          <w:sz w:val="18"/>
          <w:szCs w:val="18"/>
        </w:rPr>
      </w:pPr>
      <w:r>
        <w:rPr>
          <w:i/>
          <w:color w:val="44546A"/>
          <w:sz w:val="18"/>
          <w:szCs w:val="18"/>
        </w:rPr>
        <w:t>Таблица 7 Оценка на поносимостта на такса за битови отпадъци на база среден доход за страната, която населението на Столична община  заплаща за финансиране на разходите за управление на отпадъците</w:t>
      </w:r>
    </w:p>
    <w:p w:rsidR="008D6A97" w:rsidRDefault="008D6A97">
      <w:pPr>
        <w:rPr>
          <w:highlight w:val="yellow"/>
        </w:rPr>
      </w:pPr>
    </w:p>
    <w:tbl>
      <w:tblPr>
        <w:tblStyle w:val="ab"/>
        <w:tblW w:w="9720" w:type="dxa"/>
        <w:tblInd w:w="-5" w:type="dxa"/>
        <w:tblLayout w:type="fixed"/>
        <w:tblLook w:val="0400" w:firstRow="0" w:lastRow="0" w:firstColumn="0" w:lastColumn="0" w:noHBand="0" w:noVBand="1"/>
      </w:tblPr>
      <w:tblGrid>
        <w:gridCol w:w="3360"/>
        <w:gridCol w:w="1400"/>
        <w:gridCol w:w="1140"/>
        <w:gridCol w:w="1220"/>
        <w:gridCol w:w="1300"/>
        <w:gridCol w:w="1300"/>
      </w:tblGrid>
      <w:tr w:rsidR="008D6A97">
        <w:trPr>
          <w:trHeight w:val="300"/>
        </w:trPr>
        <w:tc>
          <w:tcPr>
            <w:tcW w:w="33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доходи</w:t>
            </w:r>
          </w:p>
        </w:tc>
        <w:tc>
          <w:tcPr>
            <w:tcW w:w="14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2016</w:t>
            </w:r>
          </w:p>
        </w:tc>
        <w:tc>
          <w:tcPr>
            <w:tcW w:w="114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2017</w:t>
            </w:r>
          </w:p>
        </w:tc>
        <w:tc>
          <w:tcPr>
            <w:tcW w:w="122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2018</w:t>
            </w:r>
          </w:p>
        </w:tc>
        <w:tc>
          <w:tcPr>
            <w:tcW w:w="13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2019</w:t>
            </w:r>
          </w:p>
        </w:tc>
        <w:tc>
          <w:tcPr>
            <w:tcW w:w="13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2020</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доход на домакинствата   (лв.)</w:t>
            </w:r>
          </w:p>
        </w:tc>
        <w:tc>
          <w:tcPr>
            <w:tcW w:w="1400" w:type="dxa"/>
            <w:tcBorders>
              <w:top w:val="nil"/>
              <w:left w:val="nil"/>
              <w:bottom w:val="nil"/>
              <w:right w:val="nil"/>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12112</w:t>
            </w:r>
          </w:p>
        </w:tc>
        <w:tc>
          <w:tcPr>
            <w:tcW w:w="1140" w:type="dxa"/>
            <w:tcBorders>
              <w:top w:val="nil"/>
              <w:left w:val="nil"/>
              <w:bottom w:val="nil"/>
              <w:right w:val="nil"/>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12836</w:t>
            </w:r>
          </w:p>
        </w:tc>
        <w:tc>
          <w:tcPr>
            <w:tcW w:w="1220" w:type="dxa"/>
            <w:tcBorders>
              <w:top w:val="nil"/>
              <w:left w:val="nil"/>
              <w:bottom w:val="nil"/>
              <w:right w:val="nil"/>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13450</w:t>
            </w:r>
          </w:p>
        </w:tc>
        <w:tc>
          <w:tcPr>
            <w:tcW w:w="1300" w:type="dxa"/>
            <w:tcBorders>
              <w:top w:val="nil"/>
              <w:left w:val="nil"/>
              <w:bottom w:val="nil"/>
              <w:right w:val="nil"/>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14361</w:t>
            </w:r>
          </w:p>
        </w:tc>
        <w:tc>
          <w:tcPr>
            <w:tcW w:w="1300" w:type="dxa"/>
            <w:tcBorders>
              <w:top w:val="nil"/>
              <w:left w:val="nil"/>
              <w:bottom w:val="nil"/>
              <w:right w:val="nil"/>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15088</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доход на едно лице   (лв.)</w:t>
            </w:r>
          </w:p>
        </w:tc>
        <w:tc>
          <w:tcPr>
            <w:tcW w:w="140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5167</w:t>
            </w:r>
          </w:p>
        </w:tc>
        <w:tc>
          <w:tcPr>
            <w:tcW w:w="114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5586</w:t>
            </w:r>
          </w:p>
        </w:tc>
        <w:tc>
          <w:tcPr>
            <w:tcW w:w="122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6013</w:t>
            </w:r>
          </w:p>
        </w:tc>
        <w:tc>
          <w:tcPr>
            <w:tcW w:w="13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6592</w:t>
            </w:r>
          </w:p>
        </w:tc>
        <w:tc>
          <w:tcPr>
            <w:tcW w:w="1300" w:type="dxa"/>
            <w:tcBorders>
              <w:top w:val="single" w:sz="4" w:space="0" w:color="000000"/>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b/>
                <w:sz w:val="18"/>
                <w:szCs w:val="18"/>
              </w:rPr>
              <w:t>7002</w:t>
            </w:r>
          </w:p>
        </w:tc>
      </w:tr>
      <w:tr w:rsidR="008D6A97">
        <w:trPr>
          <w:trHeight w:val="600"/>
        </w:trPr>
        <w:tc>
          <w:tcPr>
            <w:tcW w:w="9720" w:type="dxa"/>
            <w:gridSpan w:val="6"/>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Прагове на поносимост</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 от средния доход на населението (лв./домакинство)</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145.34</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154.03</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161.40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172.33</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181.06</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от средния доход на населението  (лв./домакинство)</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121.12</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128.36</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134.50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143.61</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150.88</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Среден размер на 1 домакинство (</w:t>
            </w:r>
            <w:proofErr w:type="spellStart"/>
            <w:r>
              <w:rPr>
                <w:rFonts w:ascii="Palatino Linotype" w:eastAsia="Palatino Linotype" w:hAnsi="Palatino Linotype" w:cs="Palatino Linotype"/>
                <w:color w:val="000000"/>
                <w:sz w:val="18"/>
                <w:szCs w:val="18"/>
              </w:rPr>
              <w:t>бр.членове</w:t>
            </w:r>
            <w:proofErr w:type="spellEnd"/>
            <w:r>
              <w:rPr>
                <w:rFonts w:ascii="Palatino Linotype" w:eastAsia="Palatino Linotype" w:hAnsi="Palatino Linotype" w:cs="Palatino Linotype"/>
                <w:color w:val="000000"/>
                <w:sz w:val="18"/>
                <w:szCs w:val="18"/>
              </w:rPr>
              <w:t>)</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2.22</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2.20</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2.2</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 от средния доход на населението -  (лв./член на домакинство)</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65.47</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70.01</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73.36</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78.33</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82.30</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от средния доход на населението (лв./член на домакинство)</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54.56</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58.35</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61.14</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65.28</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68.58</w:t>
            </w:r>
          </w:p>
        </w:tc>
      </w:tr>
      <w:tr w:rsidR="008D6A97">
        <w:trPr>
          <w:trHeight w:val="352"/>
        </w:trPr>
        <w:tc>
          <w:tcPr>
            <w:tcW w:w="9720" w:type="dxa"/>
            <w:gridSpan w:val="6"/>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Оценка на поносимостта</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Общо разходи за управление на отпадъците без разходи за чистота (лв.)</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112497295</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106196770</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112908888</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127485776</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131966644</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b/>
                <w:color w:val="000000"/>
                <w:sz w:val="18"/>
                <w:szCs w:val="18"/>
              </w:rPr>
            </w:pPr>
            <w:r>
              <w:rPr>
                <w:rFonts w:ascii="Palatino Linotype" w:eastAsia="Palatino Linotype" w:hAnsi="Palatino Linotype" w:cs="Palatino Linotype"/>
                <w:b/>
                <w:color w:val="000000"/>
                <w:sz w:val="18"/>
                <w:szCs w:val="18"/>
              </w:rPr>
              <w:t>Дял на домакинствата</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31.80%</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32.97%</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31.01%</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31.41%</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29.28%</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Платена такса от населението за управление на отпадъците (лв.)</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35 774 710</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35 016 534</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35 009 781</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40 039 788</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38 634 554</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Население (бр.)</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1 323 637</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1 325 429</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1 328 120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1 328 790</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1 308 412</w:t>
            </w:r>
          </w:p>
        </w:tc>
      </w:tr>
      <w:tr w:rsidR="008D6A97">
        <w:trPr>
          <w:trHeight w:val="600"/>
        </w:trPr>
        <w:tc>
          <w:tcPr>
            <w:tcW w:w="3360" w:type="dxa"/>
            <w:tcBorders>
              <w:top w:val="nil"/>
              <w:left w:val="single" w:sz="4" w:space="0" w:color="000000"/>
              <w:bottom w:val="single" w:sz="4" w:space="0" w:color="000000"/>
              <w:right w:val="single" w:sz="4" w:space="0" w:color="000000"/>
            </w:tcBorders>
            <w:shd w:val="clear" w:color="auto" w:fill="auto"/>
            <w:vAlign w:val="bottom"/>
          </w:tcPr>
          <w:p w:rsidR="008D6A97" w:rsidRDefault="0029088D">
            <w:pPr>
              <w:spacing w:after="0" w:line="240" w:lineRule="auto"/>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Платена такса от населението за управление на отпадъците (лв./1 жител)</w:t>
            </w:r>
          </w:p>
        </w:tc>
        <w:tc>
          <w:tcPr>
            <w:tcW w:w="14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27.03</w:t>
            </w:r>
          </w:p>
        </w:tc>
        <w:tc>
          <w:tcPr>
            <w:tcW w:w="114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26.42</w:t>
            </w:r>
          </w:p>
        </w:tc>
        <w:tc>
          <w:tcPr>
            <w:tcW w:w="122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26.36</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30.13</w:t>
            </w:r>
          </w:p>
        </w:tc>
        <w:tc>
          <w:tcPr>
            <w:tcW w:w="1300" w:type="dxa"/>
            <w:tcBorders>
              <w:top w:val="nil"/>
              <w:left w:val="nil"/>
              <w:bottom w:val="single" w:sz="4" w:space="0" w:color="000000"/>
              <w:right w:val="single" w:sz="4" w:space="0" w:color="000000"/>
            </w:tcBorders>
            <w:shd w:val="clear" w:color="auto" w:fill="auto"/>
            <w:vAlign w:val="bottom"/>
          </w:tcPr>
          <w:p w:rsidR="008D6A97" w:rsidRDefault="0029088D">
            <w:pPr>
              <w:spacing w:after="0" w:line="240" w:lineRule="auto"/>
              <w:jc w:val="right"/>
              <w:rPr>
                <w:rFonts w:ascii="Palatino Linotype" w:eastAsia="Palatino Linotype" w:hAnsi="Palatino Linotype" w:cs="Palatino Linotype"/>
                <w:color w:val="000000"/>
                <w:sz w:val="18"/>
                <w:szCs w:val="18"/>
              </w:rPr>
            </w:pPr>
            <w:r>
              <w:rPr>
                <w:rFonts w:ascii="Palatino Linotype" w:eastAsia="Palatino Linotype" w:hAnsi="Palatino Linotype" w:cs="Palatino Linotype"/>
                <w:color w:val="000000"/>
                <w:sz w:val="18"/>
                <w:szCs w:val="18"/>
              </w:rPr>
              <w:t>29.53</w:t>
            </w:r>
          </w:p>
        </w:tc>
      </w:tr>
    </w:tbl>
    <w:p w:rsidR="008D6A97" w:rsidRDefault="0029088D">
      <w:pPr>
        <w:jc w:val="both"/>
        <w:rPr>
          <w:rFonts w:ascii="Palatino Linotype" w:eastAsia="Palatino Linotype" w:hAnsi="Palatino Linotype" w:cs="Palatino Linotype"/>
          <w:highlight w:val="yellow"/>
        </w:rPr>
      </w:pPr>
      <w:r>
        <w:rPr>
          <w:rFonts w:ascii="Palatino Linotype" w:eastAsia="Palatino Linotype" w:hAnsi="Palatino Linotype" w:cs="Palatino Linotype"/>
        </w:rPr>
        <w:t xml:space="preserve">За целите на анализа са използвани данни от НСИ „Общ доход на домакинствата  по източници на доходи)“ за Среден доход на домакинствата  (лв.) и Среден доход на едно лице   (лв.).  </w:t>
      </w:r>
    </w:p>
    <w:p w:rsidR="008D6A97" w:rsidRDefault="0032508D">
      <w:pPr>
        <w:jc w:val="both"/>
        <w:rPr>
          <w:rFonts w:ascii="Palatino Linotype" w:eastAsia="Palatino Linotype" w:hAnsi="Palatino Linotype" w:cs="Palatino Linotype"/>
        </w:rPr>
      </w:pPr>
      <w:hyperlink r:id="rId13">
        <w:r w:rsidR="0029088D">
          <w:rPr>
            <w:rFonts w:ascii="Palatino Linotype" w:eastAsia="Palatino Linotype" w:hAnsi="Palatino Linotype" w:cs="Palatino Linotype"/>
            <w:color w:val="0563C1"/>
            <w:u w:val="single"/>
          </w:rPr>
          <w:t>https://nsi.bg/bg/content/3223/%D0%B3%D0%BE%D0%B4%D0%B8%D1%88%D0%BD%D0%B8-%D0%B4%D0%B0%D0%BD%D0%BD%D0%B8</w:t>
        </w:r>
      </w:hyperlink>
    </w:p>
    <w:p w:rsidR="008D6A97" w:rsidRDefault="0029088D" w:rsidP="00494900">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Поради липса на актуални данни за среден размер на 1 домакинство, сме използвали данни от преброяването 2011 г., според което средният брой лица в домакинство е бил 2,2 човека за град София.</w:t>
      </w:r>
    </w:p>
    <w:p w:rsidR="008D6A97" w:rsidRDefault="0029088D" w:rsidP="00494900">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Платена такса от населението за управление на отпадъците (лв.) е изчислена на база предоставената информация от Столична община за Общо разходи за управление на </w:t>
      </w:r>
      <w:r>
        <w:rPr>
          <w:rFonts w:ascii="Palatino Linotype" w:eastAsia="Palatino Linotype" w:hAnsi="Palatino Linotype" w:cs="Palatino Linotype"/>
        </w:rPr>
        <w:lastRenderedPageBreak/>
        <w:t>отпадъците без разходи за чистота (лв.) и процента на дела  на домакинствата в заплащаната такса битови отпадъци.</w:t>
      </w:r>
    </w:p>
    <w:p w:rsidR="008D6A97" w:rsidRDefault="0029088D" w:rsidP="00494900">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Оценката на поносимостта на платената от населението такса за битови отпадъци (частта и, която има отношение към управлението на отпадъците) при ползване на данни за среден доход на едно домакинство за област София – Столица и среден доход на едно домакинство общо за страната, показва, че в периода 2016-2020 г. тя е поносима даже за населението от най-нискодоходните групи, като това е валидно и за двата приложени прага на поносимост. С оглед на измененията в ЗМДТ и въвеждането на принципа "замърсителят плаща", сумите, които населението ще трябва да заплаща на тон отпадък ще се увеличат, като ще трябва да бъдат разработени схеми за заплащането на таксата, които да отчитат и нивата на поносимост. </w:t>
      </w:r>
    </w:p>
    <w:p w:rsidR="008D6A97" w:rsidRDefault="008D6A97">
      <w:pPr>
        <w:jc w:val="both"/>
        <w:rPr>
          <w:rFonts w:ascii="Palatino Linotype" w:eastAsia="Palatino Linotype" w:hAnsi="Palatino Linotype" w:cs="Palatino Linotype"/>
        </w:rPr>
      </w:pPr>
    </w:p>
    <w:p w:rsidR="008D6A97" w:rsidRDefault="0029088D">
      <w:pPr>
        <w:pBdr>
          <w:bottom w:val="single" w:sz="4" w:space="1" w:color="385623"/>
        </w:pBdr>
        <w:spacing w:after="0"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4.11.2. Изводи и препоръки</w:t>
      </w:r>
    </w:p>
    <w:p w:rsidR="008D6A97"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Разходите по управление на отпадъците за анализирани период изцяло се финансират от приходите от такса битови отпадъци. Независимо от това, следва да се има в предвид, че реално всяка година в приходите от такса битови отпадъци се включват и събрани суми от минали години</w:t>
      </w:r>
      <w:r>
        <w:rPr>
          <w:rFonts w:ascii="Palatino Linotype" w:eastAsia="Palatino Linotype" w:hAnsi="Palatino Linotype" w:cs="Palatino Linotype"/>
        </w:rPr>
        <w:t>, техният размер на етап изготвяне на план-сметката не може с точност да бъде предвиден.</w:t>
      </w:r>
      <w:r>
        <w:rPr>
          <w:rFonts w:ascii="Palatino Linotype" w:eastAsia="Palatino Linotype" w:hAnsi="Palatino Linotype" w:cs="Palatino Linotype"/>
          <w:color w:val="000000"/>
        </w:rPr>
        <w:t xml:space="preserve"> </w:t>
      </w:r>
    </w:p>
    <w:p w:rsidR="008D6A97"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структурата на разходите за управление на отпадъците на-висок дял имат разходите за  поддържане чистотата на териториите за обществено ползване, следвани от разходите за събиране и транспортиране на битови отпадъци  до депа и други съоръжения за третиране.</w:t>
      </w:r>
    </w:p>
    <w:p w:rsidR="008D6A97"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Размерът на заплащаните отчисления по чл. 64 от ЗУО нарастват през анализирания период, като  през 2020 г. те са почти два пъти по високи спрямо 2019 г. Това се дължи от една страна на нарастване размерът на отчисленията за един тон отпадъци всяка година въпреки намаляване на количествата  депонирани отпадъци </w:t>
      </w:r>
    </w:p>
    <w:p w:rsidR="008D6A97"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Разходите за управление на отпадъците на един жител в Столична община надвишават средното за страната (95,91 лв./жител) и разходите за много големи общини (над 100 хил. жители) – 85,53 лв./жител определени в НПУО 2021-2028 г.</w:t>
      </w:r>
    </w:p>
    <w:p w:rsidR="008D6A97" w:rsidRPr="0029088D"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Разходите на 1 тон отпадък в Столична община </w:t>
      </w:r>
      <w:r>
        <w:rPr>
          <w:rFonts w:ascii="Palatino Linotype" w:eastAsia="Palatino Linotype" w:hAnsi="Palatino Linotype" w:cs="Palatino Linotype"/>
        </w:rPr>
        <w:t xml:space="preserve">са </w:t>
      </w:r>
      <w:r>
        <w:rPr>
          <w:rFonts w:ascii="Palatino Linotype" w:eastAsia="Palatino Linotype" w:hAnsi="Palatino Linotype" w:cs="Palatino Linotype"/>
          <w:color w:val="000000"/>
        </w:rPr>
        <w:t xml:space="preserve"> 501,80 лв.,  като надвишават средното за страната (143,97 лв./тон отпадък), ка</w:t>
      </w:r>
      <w:r>
        <w:rPr>
          <w:rFonts w:ascii="Palatino Linotype" w:eastAsia="Palatino Linotype" w:hAnsi="Palatino Linotype" w:cs="Palatino Linotype"/>
        </w:rPr>
        <w:t>к</w:t>
      </w:r>
      <w:r>
        <w:rPr>
          <w:rFonts w:ascii="Palatino Linotype" w:eastAsia="Palatino Linotype" w:hAnsi="Palatino Linotype" w:cs="Palatino Linotype"/>
          <w:color w:val="000000"/>
        </w:rPr>
        <w:t xml:space="preserve">то и разходите за </w:t>
      </w:r>
      <w:r>
        <w:rPr>
          <w:rFonts w:ascii="Palatino Linotype" w:eastAsia="Palatino Linotype" w:hAnsi="Palatino Linotype" w:cs="Palatino Linotype"/>
        </w:rPr>
        <w:t>големите</w:t>
      </w:r>
      <w:r>
        <w:rPr>
          <w:rFonts w:ascii="Palatino Linotype" w:eastAsia="Palatino Linotype" w:hAnsi="Palatino Linotype" w:cs="Palatino Linotype"/>
          <w:color w:val="000000"/>
        </w:rPr>
        <w:t xml:space="preserve"> общини (над 100 хил. жители) – 163,83 лв./тон отпадък. </w:t>
      </w:r>
      <w:r w:rsidRPr="0029088D">
        <w:rPr>
          <w:rFonts w:ascii="Palatino Linotype" w:eastAsia="Palatino Linotype" w:hAnsi="Palatino Linotype" w:cs="Palatino Linotype"/>
        </w:rPr>
        <w:t>Т</w:t>
      </w:r>
      <w:sdt>
        <w:sdtPr>
          <w:tag w:val="goog_rdk_6"/>
          <w:id w:val="-107363603"/>
        </w:sdtPr>
        <w:sdtEndPr/>
        <w:sdtContent/>
      </w:sdt>
      <w:r w:rsidRPr="0029088D">
        <w:rPr>
          <w:rFonts w:ascii="Palatino Linotype" w:eastAsia="Palatino Linotype" w:hAnsi="Palatino Linotype" w:cs="Palatino Linotype"/>
        </w:rPr>
        <w:t xml:space="preserve">рябва да се има предвид, </w:t>
      </w:r>
      <w:r w:rsidRPr="0029088D">
        <w:rPr>
          <w:rFonts w:ascii="Palatino Linotype" w:eastAsia="Palatino Linotype" w:hAnsi="Palatino Linotype" w:cs="Palatino Linotype"/>
          <w:color w:val="000000"/>
        </w:rPr>
        <w:t xml:space="preserve">, че Столична община </w:t>
      </w:r>
      <w:r w:rsidRPr="0029088D">
        <w:rPr>
          <w:rFonts w:ascii="Palatino Linotype" w:eastAsia="Palatino Linotype" w:hAnsi="Palatino Linotype" w:cs="Palatino Linotype"/>
        </w:rPr>
        <w:t xml:space="preserve">успешно е реализирала и е в процес на експлоатация на 1 и 2 фаза от </w:t>
      </w:r>
      <w:r w:rsidRPr="0029088D">
        <w:rPr>
          <w:rFonts w:ascii="Palatino Linotype" w:eastAsia="Palatino Linotype" w:hAnsi="Palatino Linotype" w:cs="Palatino Linotype"/>
          <w:color w:val="000000"/>
        </w:rPr>
        <w:t xml:space="preserve"> „Интегрирана система от съоръжения за третиране на битови отпадъци на Столична община“, изградена с финансовата подкрепа на Европейския съюз. </w:t>
      </w:r>
      <w:r w:rsidRPr="0029088D">
        <w:rPr>
          <w:rFonts w:ascii="Palatino Linotype" w:eastAsia="Palatino Linotype" w:hAnsi="Palatino Linotype" w:cs="Palatino Linotype"/>
        </w:rPr>
        <w:t xml:space="preserve">Интегрираната система се състои от </w:t>
      </w:r>
      <w:r w:rsidRPr="0029088D">
        <w:rPr>
          <w:rFonts w:ascii="Palatino Linotype" w:eastAsia="Palatino Linotype" w:hAnsi="Palatino Linotype" w:cs="Palatino Linotype"/>
          <w:color w:val="000000"/>
        </w:rPr>
        <w:t xml:space="preserve">три фази, изградените съоръжения и инфраструктура </w:t>
      </w:r>
      <w:r w:rsidRPr="0029088D">
        <w:rPr>
          <w:rFonts w:ascii="Palatino Linotype" w:eastAsia="Palatino Linotype" w:hAnsi="Palatino Linotype" w:cs="Palatino Linotype"/>
        </w:rPr>
        <w:t>за първа и втора</w:t>
      </w:r>
      <w:r w:rsidRPr="0029088D">
        <w:rPr>
          <w:rFonts w:ascii="Palatino Linotype" w:eastAsia="Palatino Linotype" w:hAnsi="Palatino Linotype" w:cs="Palatino Linotype"/>
          <w:color w:val="000000"/>
        </w:rPr>
        <w:t xml:space="preserve"> фаза </w:t>
      </w:r>
      <w:r w:rsidRPr="0029088D">
        <w:rPr>
          <w:rFonts w:ascii="Palatino Linotype" w:eastAsia="Palatino Linotype" w:hAnsi="Palatino Linotype" w:cs="Palatino Linotype"/>
        </w:rPr>
        <w:t xml:space="preserve">на </w:t>
      </w:r>
      <w:r w:rsidRPr="0029088D">
        <w:rPr>
          <w:rFonts w:ascii="Palatino Linotype" w:eastAsia="Palatino Linotype" w:hAnsi="Palatino Linotype" w:cs="Palatino Linotype"/>
          <w:color w:val="000000"/>
        </w:rPr>
        <w:t xml:space="preserve">проекта включват: </w:t>
      </w:r>
    </w:p>
    <w:p w:rsidR="008D6A97" w:rsidRPr="0029088D" w:rsidRDefault="0029088D" w:rsidP="00494900">
      <w:pPr>
        <w:numPr>
          <w:ilvl w:val="0"/>
          <w:numId w:val="6"/>
        </w:numPr>
        <w:pBdr>
          <w:top w:val="nil"/>
          <w:left w:val="nil"/>
          <w:bottom w:val="nil"/>
          <w:right w:val="nil"/>
          <w:between w:val="nil"/>
        </w:pBdr>
        <w:spacing w:after="0" w:line="276" w:lineRule="auto"/>
        <w:ind w:left="1134" w:firstLine="0"/>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lastRenderedPageBreak/>
        <w:t>Фаза I</w:t>
      </w:r>
    </w:p>
    <w:p w:rsidR="008D6A97" w:rsidRPr="0029088D" w:rsidRDefault="0029088D" w:rsidP="00494900">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Инсталация за биологично третиране на площадка „Хан Богров“;</w:t>
      </w:r>
    </w:p>
    <w:p w:rsidR="008D6A97" w:rsidRPr="0029088D" w:rsidRDefault="0029088D" w:rsidP="00494900">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Депо за неопасни отпадъци „Садината“;</w:t>
      </w:r>
    </w:p>
    <w:p w:rsidR="008D6A97" w:rsidRPr="0029088D" w:rsidRDefault="0029088D" w:rsidP="00494900">
      <w:pPr>
        <w:numPr>
          <w:ilvl w:val="0"/>
          <w:numId w:val="1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Съпътстваща инфраструктура;</w:t>
      </w:r>
    </w:p>
    <w:p w:rsidR="008D6A97" w:rsidRPr="0029088D" w:rsidRDefault="0029088D" w:rsidP="00494900">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 xml:space="preserve">Фаза II </w:t>
      </w:r>
    </w:p>
    <w:p w:rsidR="008D6A97" w:rsidRPr="0029088D" w:rsidRDefault="0029088D" w:rsidP="00494900">
      <w:pPr>
        <w:numPr>
          <w:ilvl w:val="0"/>
          <w:numId w:val="13"/>
        </w:numPr>
        <w:pBdr>
          <w:top w:val="nil"/>
          <w:left w:val="nil"/>
          <w:bottom w:val="nil"/>
          <w:right w:val="nil"/>
          <w:between w:val="nil"/>
        </w:pBdr>
        <w:spacing w:after="0" w:line="276" w:lineRule="auto"/>
        <w:ind w:left="1440"/>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Завод за механично-биологично третиране на отпадъци - „Садината“ с производство на RDF</w:t>
      </w:r>
    </w:p>
    <w:p w:rsidR="008D6A97" w:rsidRPr="0029088D" w:rsidRDefault="0029088D" w:rsidP="007E0DD6">
      <w:pPr>
        <w:pBdr>
          <w:top w:val="nil"/>
          <w:left w:val="nil"/>
          <w:bottom w:val="nil"/>
          <w:right w:val="nil"/>
          <w:between w:val="nil"/>
        </w:pBdr>
        <w:spacing w:after="0" w:line="276" w:lineRule="auto"/>
        <w:ind w:left="709"/>
        <w:jc w:val="both"/>
        <w:rPr>
          <w:rFonts w:ascii="Palatino Linotype" w:eastAsia="Palatino Linotype" w:hAnsi="Palatino Linotype" w:cs="Palatino Linotype"/>
        </w:rPr>
      </w:pPr>
      <w:r w:rsidRPr="0029088D">
        <w:rPr>
          <w:rFonts w:ascii="Palatino Linotype" w:eastAsia="Palatino Linotype" w:hAnsi="Palatino Linotype" w:cs="Palatino Linotype"/>
        </w:rPr>
        <w:t>Експлоатацията на съоръженията е свързана с по-високи оперативни разходи, които дават отражение и в размера на такса смет.</w:t>
      </w:r>
    </w:p>
    <w:p w:rsidR="008D6A97" w:rsidRDefault="0029088D" w:rsidP="00494900">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29088D">
        <w:rPr>
          <w:rFonts w:ascii="Palatino Linotype" w:eastAsia="Palatino Linotype" w:hAnsi="Palatino Linotype" w:cs="Palatino Linotype"/>
          <w:color w:val="000000"/>
        </w:rPr>
        <w:t>Заплащаната такса битови отпадъци от населението в Столична Община за разглеждания период 2016-2020 г. е  под прага на</w:t>
      </w:r>
      <w:r w:rsidRPr="0029088D">
        <w:rPr>
          <w:rFonts w:ascii="Palatino Linotype" w:eastAsia="Palatino Linotype" w:hAnsi="Palatino Linotype" w:cs="Palatino Linotype"/>
        </w:rPr>
        <w:t xml:space="preserve"> социалната </w:t>
      </w:r>
      <w:r>
        <w:rPr>
          <w:rFonts w:ascii="Palatino Linotype" w:eastAsia="Palatino Linotype" w:hAnsi="Palatino Linotype" w:cs="Palatino Linotype"/>
          <w:color w:val="000000"/>
        </w:rPr>
        <w:t xml:space="preserve"> поносимост. </w:t>
      </w:r>
    </w:p>
    <w:p w:rsidR="008D6A97" w:rsidRDefault="0029088D" w:rsidP="00494900">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bookmarkStart w:id="4" w:name="_heading=h.3znysh7" w:colFirst="0" w:colLast="0"/>
      <w:bookmarkEnd w:id="4"/>
      <w:r>
        <w:rPr>
          <w:rFonts w:ascii="Palatino Linotype" w:eastAsia="Palatino Linotype" w:hAnsi="Palatino Linotype" w:cs="Palatino Linotype"/>
          <w:color w:val="000000"/>
        </w:rPr>
        <w:t>С оглед на измененията в ЗМДТ и въвеждането на принципа "замърсителят плаща", сумите, които населението ще трябва да заплаща на тон отпадък ще  се увеличат, тъй като към 2020 г. над 70% от разходите се покриват от юридическите лица на територията на общината.  В тази връзка е необходимо да бъдат разработени подходящи схеми за заплащане на такса битов отпадък, отчитайки спецификите на районите и прага на поносимост.</w:t>
      </w:r>
    </w:p>
    <w:p w:rsidR="008D6A97" w:rsidRDefault="008D6A97">
      <w:pPr>
        <w:pBdr>
          <w:top w:val="nil"/>
          <w:left w:val="nil"/>
          <w:bottom w:val="nil"/>
          <w:right w:val="nil"/>
          <w:between w:val="nil"/>
        </w:pBdr>
        <w:spacing w:line="276" w:lineRule="auto"/>
        <w:ind w:left="720"/>
        <w:jc w:val="both"/>
        <w:rPr>
          <w:rFonts w:ascii="Palatino Linotype" w:eastAsia="Palatino Linotype" w:hAnsi="Palatino Linotype" w:cs="Palatino Linotype"/>
          <w:color w:val="000000"/>
        </w:rPr>
      </w:pPr>
    </w:p>
    <w:sectPr w:rsidR="008D6A97" w:rsidSect="0026745C">
      <w:headerReference w:type="default" r:id="rId14"/>
      <w:footerReference w:type="default" r:id="rId15"/>
      <w:headerReference w:type="first" r:id="rId16"/>
      <w:pgSz w:w="11906" w:h="16838"/>
      <w:pgMar w:top="1417" w:right="1133" w:bottom="1417" w:left="1417"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BAC" w:rsidRDefault="00E64BAC">
      <w:pPr>
        <w:spacing w:after="0" w:line="240" w:lineRule="auto"/>
      </w:pPr>
      <w:r>
        <w:separator/>
      </w:r>
    </w:p>
  </w:endnote>
  <w:endnote w:type="continuationSeparator" w:id="0">
    <w:p w:rsidR="00E64BAC" w:rsidRDefault="00E64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FB1" w:rsidRDefault="00B67FB1">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26745C">
      <w:rPr>
        <w:noProof/>
        <w:color w:val="000000"/>
      </w:rPr>
      <w:t>14</w:t>
    </w:r>
    <w:r>
      <w:rPr>
        <w:color w:val="000000"/>
      </w:rPr>
      <w:fldChar w:fldCharType="end"/>
    </w:r>
  </w:p>
  <w:p w:rsidR="00B67FB1" w:rsidRDefault="00B67FB1">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BAC" w:rsidRDefault="00E64BAC">
      <w:pPr>
        <w:spacing w:after="0" w:line="240" w:lineRule="auto"/>
      </w:pPr>
      <w:r>
        <w:separator/>
      </w:r>
    </w:p>
  </w:footnote>
  <w:footnote w:type="continuationSeparator" w:id="0">
    <w:p w:rsidR="00E64BAC" w:rsidRDefault="00E64B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FB1" w:rsidRDefault="00B67FB1">
    <w:pPr>
      <w:tabs>
        <w:tab w:val="center" w:pos="4536"/>
        <w:tab w:val="right" w:pos="9072"/>
      </w:tabs>
      <w:spacing w:after="0" w:line="240" w:lineRule="auto"/>
    </w:pPr>
    <w:r>
      <w:rPr>
        <w:rFonts w:ascii="Palatino Linotype" w:eastAsia="Palatino Linotype" w:hAnsi="Palatino Linotype" w:cs="Palatino Linotype"/>
        <w:b/>
        <w:noProof/>
        <w:lang w:val="en-US" w:eastAsia="en-US"/>
      </w:rPr>
      <w:drawing>
        <wp:inline distT="0" distB="0" distL="0" distR="0">
          <wp:extent cx="5759450" cy="831970"/>
          <wp:effectExtent l="0" t="0" r="0" b="0"/>
          <wp:docPr id="1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p w:rsidR="00B67FB1" w:rsidRDefault="00B67FB1">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FB1" w:rsidRDefault="00B67FB1">
    <w:pPr>
      <w:pBdr>
        <w:top w:val="nil"/>
        <w:left w:val="nil"/>
        <w:bottom w:val="nil"/>
        <w:right w:val="nil"/>
        <w:between w:val="nil"/>
      </w:pBdr>
      <w:tabs>
        <w:tab w:val="center" w:pos="4536"/>
        <w:tab w:val="right" w:pos="9072"/>
      </w:tabs>
      <w:spacing w:after="0" w:line="240" w:lineRule="auto"/>
      <w:rPr>
        <w:color w:val="000000"/>
      </w:rPr>
    </w:pPr>
    <w:r>
      <w:rPr>
        <w:noProof/>
        <w:color w:val="000000"/>
        <w:lang w:val="en-US" w:eastAsia="en-US"/>
      </w:rPr>
      <w:drawing>
        <wp:inline distT="0" distB="0" distL="0" distR="0">
          <wp:extent cx="5761355" cy="829310"/>
          <wp:effectExtent l="0" t="0" r="0" b="0"/>
          <wp:docPr id="1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5761355" cy="82931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0547A"/>
    <w:multiLevelType w:val="multilevel"/>
    <w:tmpl w:val="2346A8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5A33C9"/>
    <w:multiLevelType w:val="multilevel"/>
    <w:tmpl w:val="C7E07C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9084771"/>
    <w:multiLevelType w:val="multilevel"/>
    <w:tmpl w:val="09067CEC"/>
    <w:lvl w:ilvl="0">
      <w:start w:val="1"/>
      <w:numFmt w:val="decimal"/>
      <w:lvlText w:val="%1."/>
      <w:lvlJc w:val="left"/>
      <w:pPr>
        <w:ind w:left="644" w:hanging="358"/>
      </w:pPr>
      <w:rPr>
        <w:b/>
      </w:rPr>
    </w:lvl>
    <w:lvl w:ilvl="1">
      <w:start w:val="1"/>
      <w:numFmt w:val="decimal"/>
      <w:lvlText w:val="%1.%2."/>
      <w:lvlJc w:val="left"/>
      <w:pPr>
        <w:ind w:left="828" w:hanging="468"/>
      </w:pPr>
      <w:rPr>
        <w:rFonts w:ascii="Palatino Linotype" w:eastAsia="Palatino Linotype" w:hAnsi="Palatino Linotype" w:cs="Palatino Linotype"/>
        <w:b/>
        <w:i w:val="0"/>
        <w:sz w:val="22"/>
        <w:szCs w:val="22"/>
      </w:rPr>
    </w:lvl>
    <w:lvl w:ilvl="2">
      <w:start w:val="1"/>
      <w:numFmt w:val="decimal"/>
      <w:lvlText w:val="%1.%2.%3."/>
      <w:lvlJc w:val="left"/>
      <w:pPr>
        <w:ind w:left="1080" w:hanging="720"/>
      </w:pPr>
      <w:rPr>
        <w:rFonts w:ascii="Palatino Linotype" w:eastAsia="Palatino Linotype" w:hAnsi="Palatino Linotype" w:cs="Palatino Linotype"/>
        <w:b/>
        <w:i/>
        <w:sz w:val="22"/>
        <w:szCs w:val="22"/>
      </w:rPr>
    </w:lvl>
    <w:lvl w:ilvl="3">
      <w:start w:val="1"/>
      <w:numFmt w:val="decimal"/>
      <w:lvlText w:val="%1.%2.%3.%4."/>
      <w:lvlJc w:val="left"/>
      <w:pPr>
        <w:ind w:left="1080" w:hanging="720"/>
      </w:pPr>
      <w:rPr>
        <w:rFonts w:ascii="Palatino Linotype" w:eastAsia="Palatino Linotype" w:hAnsi="Palatino Linotype" w:cs="Palatino Linotype"/>
        <w:b w:val="0"/>
        <w:i/>
        <w:sz w:val="20"/>
        <w:szCs w:val="20"/>
      </w:rPr>
    </w:lvl>
    <w:lvl w:ilvl="4">
      <w:start w:val="1"/>
      <w:numFmt w:val="decimal"/>
      <w:lvlText w:val="%1.%2.%3.%4.%5."/>
      <w:lvlJc w:val="left"/>
      <w:pPr>
        <w:ind w:left="1440" w:hanging="1080"/>
      </w:pPr>
      <w:rPr>
        <w:rFonts w:ascii="Palatino Linotype" w:eastAsia="Palatino Linotype" w:hAnsi="Palatino Linotype" w:cs="Palatino Linotype"/>
        <w:b w:val="0"/>
        <w:i/>
        <w:sz w:val="20"/>
        <w:szCs w:val="20"/>
      </w:rPr>
    </w:lvl>
    <w:lvl w:ilvl="5">
      <w:start w:val="1"/>
      <w:numFmt w:val="decimal"/>
      <w:lvlText w:val="%1.%2.%3.%4.%5.%6."/>
      <w:lvlJc w:val="left"/>
      <w:pPr>
        <w:ind w:left="1440" w:hanging="1080"/>
      </w:pPr>
      <w:rPr>
        <w:rFonts w:ascii="Palatino Linotype" w:eastAsia="Palatino Linotype" w:hAnsi="Palatino Linotype" w:cs="Palatino Linotype"/>
        <w:b w:val="0"/>
        <w:i/>
        <w:sz w:val="20"/>
        <w:szCs w:val="20"/>
      </w:rPr>
    </w:lvl>
    <w:lvl w:ilvl="6">
      <w:start w:val="1"/>
      <w:numFmt w:val="decimal"/>
      <w:lvlText w:val="%1.%2.%3.%4.%5.%6.%7."/>
      <w:lvlJc w:val="left"/>
      <w:pPr>
        <w:ind w:left="1800" w:hanging="1440"/>
      </w:pPr>
      <w:rPr>
        <w:rFonts w:ascii="Palatino Linotype" w:eastAsia="Palatino Linotype" w:hAnsi="Palatino Linotype" w:cs="Palatino Linotype"/>
        <w:b w:val="0"/>
        <w:i/>
        <w:sz w:val="20"/>
        <w:szCs w:val="20"/>
      </w:rPr>
    </w:lvl>
    <w:lvl w:ilvl="7">
      <w:start w:val="1"/>
      <w:numFmt w:val="decimal"/>
      <w:lvlText w:val="%1.%2.%3.%4.%5.%6.%7.%8."/>
      <w:lvlJc w:val="left"/>
      <w:pPr>
        <w:ind w:left="1800" w:hanging="1440"/>
      </w:pPr>
      <w:rPr>
        <w:rFonts w:ascii="Palatino Linotype" w:eastAsia="Palatino Linotype" w:hAnsi="Palatino Linotype" w:cs="Palatino Linotype"/>
        <w:b w:val="0"/>
        <w:i/>
        <w:sz w:val="20"/>
        <w:szCs w:val="20"/>
      </w:rPr>
    </w:lvl>
    <w:lvl w:ilvl="8">
      <w:start w:val="1"/>
      <w:numFmt w:val="decimal"/>
      <w:lvlText w:val="%1.%2.%3.%4.%5.%6.%7.%8.%9."/>
      <w:lvlJc w:val="left"/>
      <w:pPr>
        <w:ind w:left="2160" w:hanging="1800"/>
      </w:pPr>
      <w:rPr>
        <w:rFonts w:ascii="Palatino Linotype" w:eastAsia="Palatino Linotype" w:hAnsi="Palatino Linotype" w:cs="Palatino Linotype"/>
        <w:b w:val="0"/>
        <w:i/>
        <w:sz w:val="20"/>
        <w:szCs w:val="20"/>
      </w:rPr>
    </w:lvl>
  </w:abstractNum>
  <w:abstractNum w:abstractNumId="3" w15:restartNumberingAfterBreak="0">
    <w:nsid w:val="35B343D5"/>
    <w:multiLevelType w:val="multilevel"/>
    <w:tmpl w:val="FF68FD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9CB4EF4"/>
    <w:multiLevelType w:val="multilevel"/>
    <w:tmpl w:val="4622E8F6"/>
    <w:lvl w:ilvl="0">
      <w:start w:val="1"/>
      <w:numFmt w:val="decimal"/>
      <w:lvlText w:val="%1."/>
      <w:lvlJc w:val="left"/>
      <w:pPr>
        <w:ind w:left="574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DB0A1B"/>
    <w:multiLevelType w:val="multilevel"/>
    <w:tmpl w:val="AEDA62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74249F2"/>
    <w:multiLevelType w:val="multilevel"/>
    <w:tmpl w:val="2800F1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AA70BF9"/>
    <w:multiLevelType w:val="multilevel"/>
    <w:tmpl w:val="221CDA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3836786"/>
    <w:multiLevelType w:val="multilevel"/>
    <w:tmpl w:val="B44EC460"/>
    <w:lvl w:ilvl="0">
      <w:start w:val="2"/>
      <w:numFmt w:val="bullet"/>
      <w:lvlText w:val="-"/>
      <w:lvlJc w:val="left"/>
      <w:pPr>
        <w:ind w:left="720" w:hanging="360"/>
      </w:pPr>
      <w:rPr>
        <w:rFonts w:ascii="Palatino Linotype" w:eastAsia="Palatino Linotype" w:hAnsi="Palatino Linotype" w:cs="Palatino Linotyp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06F31B8"/>
    <w:multiLevelType w:val="multilevel"/>
    <w:tmpl w:val="596256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7CA102E5"/>
    <w:multiLevelType w:val="multilevel"/>
    <w:tmpl w:val="62F24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5C6BC0"/>
    <w:multiLevelType w:val="multilevel"/>
    <w:tmpl w:val="0174FBB4"/>
    <w:lvl w:ilvl="0">
      <w:start w:val="4"/>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9C67FC"/>
    <w:multiLevelType w:val="multilevel"/>
    <w:tmpl w:val="029465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6"/>
  </w:num>
  <w:num w:numId="4">
    <w:abstractNumId w:val="7"/>
  </w:num>
  <w:num w:numId="5">
    <w:abstractNumId w:val="0"/>
  </w:num>
  <w:num w:numId="6">
    <w:abstractNumId w:val="1"/>
  </w:num>
  <w:num w:numId="7">
    <w:abstractNumId w:val="10"/>
  </w:num>
  <w:num w:numId="8">
    <w:abstractNumId w:val="5"/>
  </w:num>
  <w:num w:numId="9">
    <w:abstractNumId w:val="8"/>
  </w:num>
  <w:num w:numId="10">
    <w:abstractNumId w:val="2"/>
  </w:num>
  <w:num w:numId="11">
    <w:abstractNumId w:val="11"/>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A97"/>
    <w:rsid w:val="0026745C"/>
    <w:rsid w:val="002874E0"/>
    <w:rsid w:val="0029088D"/>
    <w:rsid w:val="0032508D"/>
    <w:rsid w:val="003A72B3"/>
    <w:rsid w:val="00494900"/>
    <w:rsid w:val="00512274"/>
    <w:rsid w:val="007E0DD6"/>
    <w:rsid w:val="008D6A97"/>
    <w:rsid w:val="00A42C9F"/>
    <w:rsid w:val="00B67FB1"/>
    <w:rsid w:val="00E64BAC"/>
    <w:rsid w:val="00F40A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C7D0A-2557-43A0-9E3D-466F0F9C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13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22063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0631"/>
  </w:style>
  <w:style w:type="paragraph" w:styleId="Footer">
    <w:name w:val="footer"/>
    <w:basedOn w:val="Normal"/>
    <w:link w:val="FooterChar"/>
    <w:uiPriority w:val="99"/>
    <w:unhideWhenUsed/>
    <w:rsid w:val="00220631"/>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0631"/>
  </w:style>
  <w:style w:type="paragraph" w:styleId="ListParagraph">
    <w:name w:val="List Paragraph"/>
    <w:basedOn w:val="Normal"/>
    <w:uiPriority w:val="34"/>
    <w:qFormat/>
    <w:rsid w:val="00220631"/>
    <w:pPr>
      <w:ind w:left="720"/>
      <w:contextualSpacing/>
    </w:pPr>
  </w:style>
  <w:style w:type="paragraph" w:styleId="Caption">
    <w:name w:val="caption"/>
    <w:basedOn w:val="Normal"/>
    <w:next w:val="Normal"/>
    <w:uiPriority w:val="35"/>
    <w:unhideWhenUsed/>
    <w:qFormat/>
    <w:rsid w:val="007A1759"/>
    <w:pPr>
      <w:spacing w:after="200" w:line="240" w:lineRule="auto"/>
    </w:pPr>
    <w:rPr>
      <w:i/>
      <w:iCs/>
      <w:color w:val="44546A" w:themeColor="text2"/>
      <w:sz w:val="18"/>
      <w:szCs w:val="18"/>
    </w:rPr>
  </w:style>
  <w:style w:type="table" w:styleId="TableGrid">
    <w:name w:val="Table Grid"/>
    <w:basedOn w:val="TableNormal"/>
    <w:uiPriority w:val="39"/>
    <w:rsid w:val="004A7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13F24"/>
    <w:rPr>
      <w:sz w:val="16"/>
      <w:szCs w:val="16"/>
    </w:rPr>
  </w:style>
  <w:style w:type="paragraph" w:customStyle="1" w:styleId="CommentText1">
    <w:name w:val="Comment Text1"/>
    <w:basedOn w:val="Normal"/>
    <w:next w:val="CommentText"/>
    <w:link w:val="CommentTextChar"/>
    <w:uiPriority w:val="99"/>
    <w:semiHidden/>
    <w:unhideWhenUsed/>
    <w:rsid w:val="00D13F24"/>
    <w:pPr>
      <w:spacing w:after="0" w:line="240" w:lineRule="auto"/>
      <w:jc w:val="center"/>
    </w:pPr>
    <w:rPr>
      <w:sz w:val="20"/>
      <w:szCs w:val="20"/>
    </w:rPr>
  </w:style>
  <w:style w:type="character" w:customStyle="1" w:styleId="CommentTextChar">
    <w:name w:val="Comment Text Char"/>
    <w:basedOn w:val="DefaultParagraphFont"/>
    <w:link w:val="CommentText1"/>
    <w:uiPriority w:val="99"/>
    <w:semiHidden/>
    <w:rsid w:val="00D13F24"/>
    <w:rPr>
      <w:sz w:val="20"/>
      <w:szCs w:val="20"/>
    </w:rPr>
  </w:style>
  <w:style w:type="paragraph" w:styleId="CommentText">
    <w:name w:val="annotation text"/>
    <w:basedOn w:val="Normal"/>
    <w:link w:val="CommentTextChar1"/>
    <w:uiPriority w:val="99"/>
    <w:semiHidden/>
    <w:unhideWhenUsed/>
    <w:rsid w:val="00D13F24"/>
    <w:pPr>
      <w:spacing w:line="240" w:lineRule="auto"/>
    </w:pPr>
    <w:rPr>
      <w:sz w:val="20"/>
      <w:szCs w:val="20"/>
    </w:rPr>
  </w:style>
  <w:style w:type="character" w:customStyle="1" w:styleId="CommentTextChar1">
    <w:name w:val="Comment Text Char1"/>
    <w:basedOn w:val="DefaultParagraphFont"/>
    <w:link w:val="CommentText"/>
    <w:uiPriority w:val="99"/>
    <w:semiHidden/>
    <w:rsid w:val="00D13F24"/>
    <w:rPr>
      <w:sz w:val="20"/>
      <w:szCs w:val="20"/>
    </w:rPr>
  </w:style>
  <w:style w:type="paragraph" w:styleId="BalloonText">
    <w:name w:val="Balloon Text"/>
    <w:basedOn w:val="Normal"/>
    <w:link w:val="BalloonTextChar"/>
    <w:uiPriority w:val="99"/>
    <w:semiHidden/>
    <w:unhideWhenUsed/>
    <w:rsid w:val="000A74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74FC"/>
    <w:rPr>
      <w:rFonts w:ascii="Segoe UI" w:hAnsi="Segoe UI" w:cs="Segoe UI"/>
      <w:sz w:val="18"/>
      <w:szCs w:val="1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left w:w="70" w:type="dxa"/>
        <w:right w:w="70" w:type="dxa"/>
      </w:tblCellMar>
    </w:tblPr>
  </w:style>
  <w:style w:type="character" w:styleId="Hyperlink">
    <w:name w:val="Hyperlink"/>
    <w:basedOn w:val="DefaultParagraphFont"/>
    <w:uiPriority w:val="99"/>
    <w:unhideWhenUsed/>
    <w:rsid w:val="006D35E6"/>
    <w:rPr>
      <w:color w:val="0563C1" w:themeColor="hyperlink"/>
      <w:u w:val="single"/>
    </w:rPr>
  </w:style>
  <w:style w:type="character" w:styleId="FollowedHyperlink">
    <w:name w:val="FollowedHyperlink"/>
    <w:basedOn w:val="DefaultParagraphFont"/>
    <w:uiPriority w:val="99"/>
    <w:semiHidden/>
    <w:unhideWhenUsed/>
    <w:rsid w:val="00257F73"/>
    <w:rPr>
      <w:color w:val="954F72" w:themeColor="followedHyperlink"/>
      <w:u w:val="single"/>
    </w:rPr>
  </w:style>
  <w:style w:type="table" w:customStyle="1" w:styleId="a5">
    <w:basedOn w:val="TableNormal"/>
    <w:pPr>
      <w:spacing w:after="0" w:line="240" w:lineRule="auto"/>
    </w:pPr>
    <w:tblPr>
      <w:tblStyleRowBandSize w:val="1"/>
      <w:tblStyleColBandSize w:val="1"/>
      <w:tblCellMar>
        <w:left w:w="70" w:type="dxa"/>
        <w:right w:w="70" w:type="dxa"/>
      </w:tblCellMar>
    </w:tblPr>
  </w:style>
  <w:style w:type="table" w:customStyle="1" w:styleId="a6">
    <w:basedOn w:val="TableNormal"/>
    <w:pPr>
      <w:spacing w:after="0" w:line="240" w:lineRule="auto"/>
    </w:pPr>
    <w:tblPr>
      <w:tblStyleRowBandSize w:val="1"/>
      <w:tblStyleColBandSize w:val="1"/>
      <w:tblCellMar>
        <w:left w:w="70" w:type="dxa"/>
        <w:right w:w="70" w:type="dxa"/>
      </w:tblCellMar>
    </w:tblPr>
  </w:style>
  <w:style w:type="table" w:customStyle="1" w:styleId="a7">
    <w:basedOn w:val="TableNormal"/>
    <w:pPr>
      <w:spacing w:after="0" w:line="240" w:lineRule="auto"/>
    </w:pPr>
    <w:tblPr>
      <w:tblStyleRowBandSize w:val="1"/>
      <w:tblStyleColBandSize w:val="1"/>
      <w:tblCellMar>
        <w:left w:w="70" w:type="dxa"/>
        <w:right w:w="70" w:type="dxa"/>
      </w:tblCellMar>
    </w:tblPr>
  </w:style>
  <w:style w:type="table" w:customStyle="1" w:styleId="a8">
    <w:basedOn w:val="TableNormal"/>
    <w:pPr>
      <w:spacing w:after="0" w:line="240" w:lineRule="auto"/>
    </w:pPr>
    <w:tblPr>
      <w:tblStyleRowBandSize w:val="1"/>
      <w:tblStyleColBandSize w:val="1"/>
      <w:tblCellMar>
        <w:left w:w="70" w:type="dxa"/>
        <w:right w:w="70" w:type="dxa"/>
      </w:tblCellMar>
    </w:tblPr>
  </w:style>
  <w:style w:type="table" w:customStyle="1" w:styleId="a9">
    <w:basedOn w:val="TableNormal"/>
    <w:pPr>
      <w:spacing w:after="0" w:line="240" w:lineRule="auto"/>
    </w:pPr>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table" w:customStyle="1" w:styleId="ab">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si.bg/bg/content/3223/%D0%B3%D0%BE%D0%B4%D0%B8%D1%88%D0%BD%D0%B8-%D0%B4%D0%B0%D0%BD%D0%BD%D0%B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stat.nsi.bg/infostat/pages/reports/result.jsf?x_2=10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sz="1000" b="1">
                <a:latin typeface="Palatino Linotype" panose="02040502050505030304" pitchFamily="18" charset="0"/>
              </a:rPr>
              <a:t>Разходи</a:t>
            </a:r>
            <a:r>
              <a:rPr lang="bg-BG" sz="1000" b="1" baseline="0">
                <a:latin typeface="Palatino Linotype" panose="02040502050505030304" pitchFamily="18" charset="0"/>
              </a:rPr>
              <a:t> на един тон отпдък</a:t>
            </a:r>
            <a:endParaRPr lang="gsw-FR" sz="1000" b="1">
              <a:latin typeface="Palatino Linotype" panose="0204050205050503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cked"/>
        <c:varyColors val="0"/>
        <c:ser>
          <c:idx val="0"/>
          <c:order val="0"/>
          <c:tx>
            <c:strRef>
              <c:f>'Таблица 1 от АФП'!$B$18</c:f>
              <c:strCache>
                <c:ptCount val="1"/>
                <c:pt idx="0">
                  <c:v>Година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'Таблица 1 от АФП'!$C$18:$G$18</c:f>
              <c:numCache>
                <c:formatCode>General</c:formatCode>
                <c:ptCount val="5"/>
                <c:pt idx="0">
                  <c:v>2016</c:v>
                </c:pt>
                <c:pt idx="1">
                  <c:v>2017</c:v>
                </c:pt>
                <c:pt idx="2">
                  <c:v>2018</c:v>
                </c:pt>
                <c:pt idx="3">
                  <c:v>2019</c:v>
                </c:pt>
                <c:pt idx="4">
                  <c:v>2020</c:v>
                </c:pt>
              </c:numCache>
            </c:numRef>
          </c:val>
          <c:smooth val="0"/>
          <c:extLst>
            <c:ext xmlns:c16="http://schemas.microsoft.com/office/drawing/2014/chart" uri="{C3380CC4-5D6E-409C-BE32-E72D297353CC}">
              <c16:uniqueId val="{00000000-D22C-4D18-A1AA-859A3FB1C45C}"/>
            </c:ext>
          </c:extLst>
        </c:ser>
        <c:ser>
          <c:idx val="1"/>
          <c:order val="1"/>
          <c:tx>
            <c:strRef>
              <c:f>'Таблица 1 от АФП'!$B$19</c:f>
              <c:strCache>
                <c:ptCount val="1"/>
                <c:pt idx="0">
                  <c:v>Разходи на един тон отпадъци, лв.</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val>
            <c:numRef>
              <c:f>'Таблица 1 от АФП'!$C$19:$G$19</c:f>
              <c:numCache>
                <c:formatCode>General</c:formatCode>
                <c:ptCount val="5"/>
                <c:pt idx="0">
                  <c:v>347.19</c:v>
                </c:pt>
                <c:pt idx="1">
                  <c:v>298.2</c:v>
                </c:pt>
                <c:pt idx="2">
                  <c:v>308.24</c:v>
                </c:pt>
                <c:pt idx="3">
                  <c:v>328.25</c:v>
                </c:pt>
                <c:pt idx="4" formatCode="0.00">
                  <c:v>338.1</c:v>
                </c:pt>
              </c:numCache>
            </c:numRef>
          </c:val>
          <c:smooth val="0"/>
          <c:extLst>
            <c:ext xmlns:c16="http://schemas.microsoft.com/office/drawing/2014/chart" uri="{C3380CC4-5D6E-409C-BE32-E72D297353CC}">
              <c16:uniqueId val="{00000001-D22C-4D18-A1AA-859A3FB1C45C}"/>
            </c:ext>
          </c:extLst>
        </c:ser>
        <c:dLbls>
          <c:dLblPos val="t"/>
          <c:showLegendKey val="0"/>
          <c:showVal val="1"/>
          <c:showCatName val="0"/>
          <c:showSerName val="0"/>
          <c:showPercent val="0"/>
          <c:showBubbleSize val="0"/>
        </c:dLbls>
        <c:marker val="1"/>
        <c:smooth val="0"/>
        <c:axId val="1373448272"/>
        <c:axId val="1373452080"/>
      </c:lineChart>
      <c:catAx>
        <c:axId val="137344827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73452080"/>
        <c:crosses val="autoZero"/>
        <c:auto val="1"/>
        <c:lblAlgn val="ctr"/>
        <c:lblOffset val="100"/>
        <c:noMultiLvlLbl val="0"/>
      </c:catAx>
      <c:valAx>
        <c:axId val="1373452080"/>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37344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vTBWd7ySTyhvaYOuvdB2J2A46w==">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3750</Words>
  <Characters>21377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EcoLogistikA</dc:creator>
  <cp:lastModifiedBy>SM</cp:lastModifiedBy>
  <cp:revision>9</cp:revision>
  <dcterms:created xsi:type="dcterms:W3CDTF">2022-06-03T12:42:00Z</dcterms:created>
  <dcterms:modified xsi:type="dcterms:W3CDTF">2023-05-09T08:46:00Z</dcterms:modified>
</cp:coreProperties>
</file>